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color w:val="0F2A47"/>
          <w:sz w:val="44"/>
        </w:rPr>
        <w:t>FIRST CALL GROUP</w:t>
      </w:r>
    </w:p>
    <w:p>
      <w:pPr>
        <w:jc w:val="center"/>
      </w:pPr>
      <w:r>
        <w:rPr>
          <w:rFonts w:ascii="Calibri" w:hAnsi="Calibri"/>
          <w:i/>
          <w:color w:val="595959"/>
          <w:sz w:val="22"/>
        </w:rPr>
        <w:t>The First Call Group, Inc.  |  Service Disabled Veteran Owned Small Business</w:t>
      </w:r>
    </w:p>
    <w:p>
      <w:r>
        <w:rPr>
          <w:rFonts w:ascii="Calibri" w:hAnsi="Calibri"/>
          <w:i w:val="0"/>
          <w:color w:val="000000"/>
          <w:sz w:val="22"/>
        </w:rPr>
      </w:r>
    </w:p>
    <w:p>
      <w:pPr>
        <w:jc w:val="center"/>
      </w:pPr>
      <w:r>
        <w:rPr>
          <w:rFonts w:ascii="Calibri" w:hAnsi="Calibri"/>
          <w:b/>
          <w:color w:val="0F2A47"/>
          <w:sz w:val="28"/>
        </w:rPr>
        <w:t>MUTUAL NON-DISCLOSURE AGREEMENT</w:t>
      </w:r>
    </w:p>
    <w:p>
      <w:pPr>
        <w:jc w:val="center"/>
      </w:pPr>
      <w:r>
        <w:rPr>
          <w:rFonts w:ascii="Calibri" w:hAnsi="Calibri"/>
          <w:i/>
          <w:color w:val="595959"/>
          <w:sz w:val="22"/>
        </w:rPr>
        <w:t>Bench Engagement and Federal Proposal Pursuit</w:t>
      </w:r>
    </w:p>
    <w:p>
      <w:r>
        <w:rPr>
          <w:rFonts w:ascii="Calibri" w:hAnsi="Calibri"/>
          <w:i w:val="0"/>
          <w:color w:val="000000"/>
          <w:sz w:val="22"/>
        </w:rPr>
      </w:r>
    </w:p>
    <w:p>
      <w:r>
        <w:rPr>
          <w:rFonts w:ascii="Calibri" w:hAnsi="Calibri"/>
          <w:b/>
          <w:sz w:val="22"/>
        </w:rPr>
        <w:t>Effective Date:</w:t>
      </w:r>
      <w:r>
        <w:rPr>
          <w:rFonts w:ascii="Calibri" w:hAnsi="Calibri"/>
          <w:sz w:val="22"/>
        </w:rPr>
        <w:t xml:space="preserve"> _________________________________________ </w:t>
      </w:r>
    </w:p>
    <w:p>
      <w:r>
        <w:rPr>
          <w:rFonts w:ascii="Calibri" w:hAnsi="Calibri"/>
          <w:b/>
          <w:sz w:val="22"/>
        </w:rPr>
        <w:t>Candidate Name ("Receiving Party One"):</w:t>
      </w:r>
      <w:r>
        <w:rPr>
          <w:rFonts w:ascii="Calibri" w:hAnsi="Calibri"/>
          <w:sz w:val="22"/>
        </w:rPr>
        <w:t xml:space="preserve"> _________________________________________ </w:t>
      </w:r>
    </w:p>
    <w:p>
      <w:r>
        <w:rPr>
          <w:rFonts w:ascii="Calibri" w:hAnsi="Calibri"/>
          <w:i w:val="0"/>
          <w:color w:val="000000"/>
          <w:sz w:val="22"/>
        </w:rPr>
        <w:t>Disclosing Party: The First Call Group, Inc., an Arizona corporation with its principal place of business in Tucson, Arizona ("FCG" or "Receiving Party Two").</w:t>
      </w:r>
    </w:p>
    <w:p>
      <w:pPr>
        <w:spacing w:before="160" w:after="80"/>
      </w:pPr>
      <w:r>
        <w:rPr>
          <w:rFonts w:ascii="Calibri" w:hAnsi="Calibri"/>
          <w:b/>
          <w:color w:val="0F2A47"/>
          <w:sz w:val="26"/>
        </w:rPr>
        <w:t>1. Purpose</w:t>
      </w:r>
    </w:p>
    <w:p>
      <w:r>
        <w:rPr>
          <w:rFonts w:ascii="Calibri" w:hAnsi="Calibri"/>
          <w:i w:val="0"/>
          <w:color w:val="000000"/>
          <w:sz w:val="22"/>
        </w:rPr>
        <w:t>This Mutual Non-Disclosure Agreement (the "Agreement") governs the exchange of confidential information between FCG and the Candidate in connection with: (a) the Candidate's consideration for placement on the FCG federal services bench; (b) FCG's pursuit of the General Services Administration (GSA) Multiple Award Schedule (MAS) contract under Solicitation 47QSMD20R0001 (Refresh 31) and aligned federal task order engagements; and (c) the parties' evaluation of a potential independent contractor relationship to be governed by a future written agreement.</w:t>
      </w:r>
    </w:p>
    <w:p>
      <w:pPr>
        <w:spacing w:before="160" w:after="80"/>
      </w:pPr>
      <w:r>
        <w:rPr>
          <w:rFonts w:ascii="Calibri" w:hAnsi="Calibri"/>
          <w:b/>
          <w:color w:val="0F2A47"/>
          <w:sz w:val="26"/>
        </w:rPr>
        <w:t>2. Definition of Confidential Information</w:t>
      </w:r>
    </w:p>
    <w:p>
      <w:r>
        <w:rPr>
          <w:rFonts w:ascii="Calibri" w:hAnsi="Calibri"/>
          <w:i w:val="0"/>
          <w:color w:val="000000"/>
          <w:sz w:val="22"/>
        </w:rPr>
        <w:t>"Confidential Information" means any information disclosed by one party (the "Disclosing Party") to the other party (the "Receiving Party"), whether orally, in writing, electronically, or by inspection of tangible objects, that is identified as confidential at the time of disclosure or that would reasonably be understood to be confidential given the nature of the information and the circumstances of disclosure. Confidential Information includes, without limitation: technical capabilities, methodologies, position descriptions, labor category structures, indirect rate information, pricing approaches, business plans, customer identities and engagement details, federal opportunity pursuit information, partner and subcontractor relationships, resume content and compensation history, conflict-of-interest information, and any other non-public information disclosed by a party in the course of bench-build or proposal activities.</w:t>
      </w:r>
    </w:p>
    <w:p>
      <w:pPr>
        <w:spacing w:before="160" w:after="80"/>
      </w:pPr>
      <w:r>
        <w:rPr>
          <w:rFonts w:ascii="Calibri" w:hAnsi="Calibri"/>
          <w:b/>
          <w:color w:val="0F2A47"/>
          <w:sz w:val="26"/>
        </w:rPr>
        <w:t>3. Exclusions</w:t>
      </w:r>
    </w:p>
    <w:p>
      <w:r>
        <w:rPr>
          <w:rFonts w:ascii="Calibri" w:hAnsi="Calibri"/>
          <w:i w:val="0"/>
          <w:color w:val="000000"/>
          <w:sz w:val="22"/>
        </w:rPr>
        <w:t>Confidential Information does not include information that: (a) is or becomes generally available to the public other than through breach of this Agreement by the Receiving Party; (b) was rightfully in the Receiving Party's possession without restriction prior to disclosure by the Disclosing Party; (c) is rightfully obtained by the Receiving Party from a third party without restriction; or (d) is independently developed by the Receiving Party without use of or reference to the Disclosing Party's Confidential Information.</w:t>
      </w:r>
    </w:p>
    <w:p>
      <w:pPr>
        <w:spacing w:before="160" w:after="80"/>
      </w:pPr>
      <w:r>
        <w:rPr>
          <w:rFonts w:ascii="Calibri" w:hAnsi="Calibri"/>
          <w:b/>
          <w:color w:val="0F2A47"/>
          <w:sz w:val="26"/>
        </w:rPr>
        <w:t>4. Obligations of the Receiving Party</w:t>
      </w:r>
    </w:p>
    <w:p>
      <w:r>
        <w:rPr>
          <w:rFonts w:ascii="Calibri" w:hAnsi="Calibri"/>
          <w:i w:val="0"/>
          <w:color w:val="000000"/>
          <w:sz w:val="22"/>
        </w:rPr>
        <w:t>The Receiving Party agrees to: (a) hold the Confidential Information in strict confidence using at least the same degree of care it uses to protect its own confidential information of like importance, and in no event less than reasonable care; (b) use the Confidential Information solely for the Purpose set forth in Section 1; (c) limit access to the Confidential Information to its employees, contractors, and professional advisors who have a need to know and who are bound by confidentiality obligations no less protective than those in this Agreement; (d) not disclose any Confidential Information to any third party without the Disclosing Party's prior written consent; and (e) promptly notify the Disclosing Party of any unauthorized use or disclosure of the Confidential Information.</w:t>
      </w:r>
    </w:p>
    <w:p>
      <w:pPr>
        <w:spacing w:before="160" w:after="80"/>
      </w:pPr>
      <w:r>
        <w:rPr>
          <w:rFonts w:ascii="Calibri" w:hAnsi="Calibri"/>
          <w:b/>
          <w:color w:val="0F2A47"/>
          <w:sz w:val="26"/>
        </w:rPr>
        <w:t>5. Compelled Disclosure</w:t>
      </w:r>
    </w:p>
    <w:p>
      <w:r>
        <w:rPr>
          <w:rFonts w:ascii="Calibri" w:hAnsi="Calibri"/>
          <w:i w:val="0"/>
          <w:color w:val="000000"/>
          <w:sz w:val="22"/>
        </w:rPr>
        <w:t>If the Receiving Party is required by law, subpoena, or order of a court or governmental agency to disclose any Confidential Information, the Receiving Party will, to the extent legally permissible, promptly notify the Disclosing Party so that the Disclosing Party may seek a protective order or other appropriate remedy. The Receiving Party will furnish only that portion of the Confidential Information that is legally required and will use reasonable efforts to obtain confidential treatment of the disclosed information.</w:t>
      </w:r>
    </w:p>
    <w:p>
      <w:pPr>
        <w:spacing w:before="160" w:after="80"/>
      </w:pPr>
      <w:r>
        <w:rPr>
          <w:rFonts w:ascii="Calibri" w:hAnsi="Calibri"/>
          <w:b/>
          <w:color w:val="0F2A47"/>
          <w:sz w:val="26"/>
        </w:rPr>
        <w:t>6. Term and Return of Materials</w:t>
      </w:r>
    </w:p>
    <w:p>
      <w:r>
        <w:rPr>
          <w:rFonts w:ascii="Calibri" w:hAnsi="Calibri"/>
          <w:i w:val="0"/>
          <w:color w:val="000000"/>
          <w:sz w:val="22"/>
        </w:rPr>
        <w:t>This Agreement is effective for a period of three (3) years from the Effective Date. The confidentiality obligations with respect to any Confidential Information that constitutes a trade secret continue for so long as the information qualifies as a trade secret under applicable law. Upon termination of this Agreement or upon request, the Receiving Party will return or destroy all Confidential Information of the Disclosing Party in its possession and certify such return or destruction in writing if requested.</w:t>
      </w:r>
    </w:p>
    <w:p>
      <w:pPr>
        <w:spacing w:before="160" w:after="80"/>
      </w:pPr>
      <w:r>
        <w:rPr>
          <w:rFonts w:ascii="Calibri" w:hAnsi="Calibri"/>
          <w:b/>
          <w:color w:val="0F2A47"/>
          <w:sz w:val="26"/>
        </w:rPr>
        <w:t>7. No License or Obligation</w:t>
      </w:r>
    </w:p>
    <w:p>
      <w:r>
        <w:rPr>
          <w:rFonts w:ascii="Calibri" w:hAnsi="Calibri"/>
          <w:i w:val="0"/>
          <w:color w:val="000000"/>
          <w:sz w:val="22"/>
        </w:rPr>
        <w:t>Nothing in this Agreement grants any license, by implication or otherwise, to any intellectual property of the Disclosing Party. Nothing in this Agreement obligates either party to enter into a future business relationship or to disclose any specific information. Each party retains all rights in its own Confidential Information.</w:t>
      </w:r>
    </w:p>
    <w:p>
      <w:pPr>
        <w:spacing w:before="160" w:after="80"/>
      </w:pPr>
      <w:r>
        <w:rPr>
          <w:rFonts w:ascii="Calibri" w:hAnsi="Calibri"/>
          <w:b/>
          <w:color w:val="0F2A47"/>
          <w:sz w:val="26"/>
        </w:rPr>
        <w:t>8. Remedies</w:t>
      </w:r>
    </w:p>
    <w:p>
      <w:r>
        <w:rPr>
          <w:rFonts w:ascii="Calibri" w:hAnsi="Calibri"/>
          <w:i w:val="0"/>
          <w:color w:val="000000"/>
          <w:sz w:val="22"/>
        </w:rPr>
        <w:t>The parties acknowledge that any breach of this Agreement may cause irreparable harm for which monetary damages would be inadequate, and that the non-breaching party is entitled to seek injunctive relief in addition to any other remedies available at law or in equity.</w:t>
      </w:r>
    </w:p>
    <w:p>
      <w:pPr>
        <w:spacing w:before="160" w:after="80"/>
      </w:pPr>
      <w:r>
        <w:rPr>
          <w:rFonts w:ascii="Calibri" w:hAnsi="Calibri"/>
          <w:b/>
          <w:color w:val="0F2A47"/>
          <w:sz w:val="26"/>
        </w:rPr>
        <w:t>9. Governing Law and Construction</w:t>
      </w:r>
    </w:p>
    <w:p>
      <w:r>
        <w:rPr>
          <w:rFonts w:ascii="Calibri" w:hAnsi="Calibri"/>
          <w:i w:val="0"/>
          <w:color w:val="000000"/>
          <w:sz w:val="22"/>
        </w:rPr>
        <w:t>This Agreement is governed by the laws of the State of Arizona without regard to its conflict-of-law provisions. The parties consent to the exclusive jurisdiction of the state and federal courts located in Pima County, Arizona, for any dispute arising under this Agreement. This Agreement constitutes the entire agreement of the parties with respect to confidential information exchanged for the Purpose stated above and supersedes any prior or contemporaneous understandings on the subject.</w:t>
      </w:r>
    </w:p>
    <w:p>
      <w:pPr>
        <w:spacing w:before="160" w:after="80"/>
      </w:pPr>
      <w:r>
        <w:rPr>
          <w:rFonts w:ascii="Calibri" w:hAnsi="Calibri"/>
          <w:b/>
          <w:color w:val="0F2A47"/>
          <w:sz w:val="26"/>
        </w:rPr>
        <w:t>10. Signatures</w:t>
      </w:r>
    </w:p>
    <w:p>
      <w:r>
        <w:rPr>
          <w:rFonts w:ascii="Calibri" w:hAnsi="Calibri"/>
          <w:i w:val="0"/>
          <w:color w:val="000000"/>
          <w:sz w:val="22"/>
        </w:rPr>
      </w:r>
    </w:p>
    <w:p>
      <w:r>
        <w:rPr>
          <w:rFonts w:ascii="Calibri" w:hAnsi="Calibri"/>
          <w:b/>
          <w:sz w:val="22"/>
        </w:rPr>
        <w:t>Candidate Signature:</w:t>
      </w:r>
      <w:r>
        <w:rPr>
          <w:rFonts w:ascii="Calibri" w:hAnsi="Calibri"/>
          <w:sz w:val="22"/>
        </w:rPr>
        <w:t xml:space="preserve"> _________________________________________ </w:t>
      </w:r>
    </w:p>
    <w:p>
      <w:r>
        <w:rPr>
          <w:rFonts w:ascii="Calibri" w:hAnsi="Calibri"/>
          <w:b/>
          <w:sz w:val="22"/>
        </w:rPr>
        <w:t>Candidate Printed Name:</w:t>
      </w:r>
      <w:r>
        <w:rPr>
          <w:rFonts w:ascii="Calibri" w:hAnsi="Calibri"/>
          <w:sz w:val="22"/>
        </w:rPr>
        <w:t xml:space="preserve"> _________________________________________ </w:t>
      </w:r>
    </w:p>
    <w:p>
      <w:r>
        <w:rPr>
          <w:rFonts w:ascii="Calibri" w:hAnsi="Calibri"/>
          <w:b/>
          <w:sz w:val="22"/>
        </w:rPr>
        <w:t>Date:</w:t>
      </w:r>
      <w:r>
        <w:rPr>
          <w:rFonts w:ascii="Calibri" w:hAnsi="Calibri"/>
          <w:sz w:val="22"/>
        </w:rPr>
        <w:t xml:space="preserve"> _________________________________________ </w:t>
      </w:r>
    </w:p>
    <w:p>
      <w:r>
        <w:rPr>
          <w:rFonts w:ascii="Calibri" w:hAnsi="Calibri"/>
          <w:i w:val="0"/>
          <w:color w:val="000000"/>
          <w:sz w:val="22"/>
        </w:rPr>
      </w:r>
    </w:p>
    <w:p>
      <w:r>
        <w:rPr>
          <w:rFonts w:ascii="Calibri" w:hAnsi="Calibri"/>
          <w:b/>
          <w:sz w:val="22"/>
        </w:rPr>
        <w:t>FCG Authorized Signatory:</w:t>
      </w:r>
      <w:r>
        <w:rPr>
          <w:rFonts w:ascii="Calibri" w:hAnsi="Calibri"/>
          <w:sz w:val="22"/>
        </w:rPr>
        <w:t xml:space="preserve"> _________________________________________ </w:t>
      </w:r>
    </w:p>
    <w:p>
      <w:r>
        <w:rPr>
          <w:rFonts w:ascii="Calibri" w:hAnsi="Calibri"/>
          <w:b/>
          <w:sz w:val="22"/>
        </w:rPr>
        <w:t>Printed Name:</w:t>
      </w:r>
      <w:r>
        <w:rPr>
          <w:rFonts w:ascii="Calibri" w:hAnsi="Calibri"/>
          <w:sz w:val="22"/>
        </w:rPr>
        <w:t xml:space="preserve"> Jason L Agee                                       </w:t>
      </w:r>
    </w:p>
    <w:p>
      <w:r>
        <w:rPr>
          <w:rFonts w:ascii="Calibri" w:hAnsi="Calibri"/>
          <w:b/>
          <w:sz w:val="22"/>
        </w:rPr>
        <w:t>Title:</w:t>
      </w:r>
      <w:r>
        <w:rPr>
          <w:rFonts w:ascii="Calibri" w:hAnsi="Calibri"/>
          <w:sz w:val="22"/>
        </w:rPr>
        <w:t xml:space="preserve"> Founder &amp; Chief Executive Officer                       </w:t>
      </w:r>
    </w:p>
    <w:p>
      <w:r>
        <w:rPr>
          <w:rFonts w:ascii="Calibri" w:hAnsi="Calibri"/>
          <w:b/>
          <w:sz w:val="22"/>
        </w:rPr>
        <w:t>Date:</w:t>
      </w:r>
      <w:r>
        <w:rPr>
          <w:rFonts w:ascii="Calibri" w:hAnsi="Calibri"/>
          <w:sz w:val="22"/>
        </w:rPr>
        <w:t xml:space="preserve"> _________________________________________ </w:t>
      </w:r>
    </w:p>
    <w:sectPr w:rsidR="00FC693F" w:rsidRPr="0006063C" w:rsidSect="00034616">
      <w:headerReference w:type="default" r:id="rId9"/>
      <w:footerReference w:type="default" r:id="rId10"/>
      <w:pgSz w:w="12240" w:h="15840"/>
      <w:pgMar w:top="1224" w:right="1224" w:bottom="1224"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595959"/>
        <w:sz w:val="18"/>
      </w:rPr>
      <w:t xml:space="preserve">The First Call Group, Inc.  |  jason.agee@thefirstcallgroup.com  |  thefirstcallgroup.com  |  Page </w:t>
    </w:r>
    <w:r>
      <w:fldChar w:fldCharType="begin"/>
      <w:instrText xml:space="preserve">PAGE</w:instrText>
      <w:fldChar w:fldCharType="separate"/>
      <w:t/>
      <w:fldChar w:fldCharType="end"/>
    </w:r>
    <w:r>
      <w:rPr>
        <w:rFonts w:ascii="Calibri" w:hAnsi="Calibri"/>
        <w:color w:val="595959"/>
        <w:sz w:val="18"/>
      </w:rPr>
      <w:t xml:space="preserve"> of </w:t>
    </w:r>
    <w:r>
      <w:fldChar w:fldCharType="begin"/>
      <w:instrText xml:space="preserve">NUMPAGES</w:instrText>
      <w:fldChar w:fldCharType="separate"/>
      <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i/>
        <w:color w:val="595959"/>
        <w:sz w:val="18"/>
      </w:rPr>
      <w:t>FCG Bench — Mutual Non-Disclosure Agreement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