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240"/>
        <w:gridCol w:w="3840"/>
      </w:tblGrid>
      <w:tr>
        <w:tc>
          <w:tcPr>
            <w:tcW w:type="dxa" w:w="6240"/>
            <w:tcBorders>
              <w:top w:val="none" w:color="FFFFFF" w:sz="0"/>
              <w:left w:val="none" w:color="FFFFFF" w:sz="0"/>
              <w:bottom w:val="none" w:color="FFFFFF" w:sz="0"/>
              <w:right w:val="none" w:color="FFFFFF" w:sz="0"/>
            </w:tcBorders>
            <w:tcMar>
              <w:top w:type="dxa" w:w="0"/>
              <w:left w:type="dxa" w:w="0"/>
              <w:bottom w:type="dxa" w:w="0"/>
              <w:right w:type="dxa" w:w="80"/>
            </w:tcMar>
            <w:vAlign w:val="center"/>
          </w:tcPr>
          <w:p>
            <w:pPr>
              <w:spacing w:after="40"/>
            </w:pPr>
            <w:r>
              <w:rPr>
                <w:rFonts w:ascii="Calibri" w:cs="Calibri" w:eastAsia="Calibri" w:hAnsi="Calibri"/>
                <w:b/>
                <w:bCs/>
                <w:color w:val="1F3A5F"/>
                <w:spacing w:val="40"/>
                <w:sz w:val="22"/>
                <w:szCs w:val="22"/>
              </w:rPr>
              <w:t xml:space="preserve">CAPABILITY STATEMENT</w:t>
            </w:r>
          </w:p>
          <w:p>
            <w:pPr>
              <w:spacing w:after="40"/>
            </w:pPr>
            <w:r>
              <w:rPr>
                <w:rFonts w:ascii="Calibri" w:cs="Calibri" w:eastAsia="Calibri" w:hAnsi="Calibri"/>
                <w:b/>
                <w:bCs/>
                <w:color w:val="000000"/>
                <w:sz w:val="40"/>
                <w:szCs w:val="40"/>
              </w:rPr>
              <w:t xml:space="preserve">Angie Agee</w:t>
            </w:r>
          </w:p>
          <w:p>
            <w:pPr>
              <w:spacing w:after="0"/>
            </w:pPr>
            <w:r>
              <w:rPr>
                <w:rFonts w:ascii="Calibri" w:cs="Calibri" w:eastAsia="Calibri" w:hAnsi="Calibri"/>
                <w:i/>
                <w:iCs/>
                <w:color w:val="2E5C8A"/>
                <w:sz w:val="22"/>
                <w:szCs w:val="22"/>
              </w:rPr>
              <w:t xml:space="preserve">Senior Cybersecurity Subject Matter Expert • CMMC, NIST, OT/ICS</w:t>
            </w:r>
          </w:p>
        </w:tc>
        <w:tc>
          <w:tcPr>
            <w:tcW w:type="dxa" w:w="3840"/>
            <w:tcBorders>
              <w:top w:val="none" w:color="FFFFFF" w:sz="0"/>
              <w:left w:val="none" w:color="FFFFFF" w:sz="0"/>
              <w:bottom w:val="none" w:color="FFFFFF" w:sz="0"/>
              <w:right w:val="none" w:color="FFFFFF" w:sz="0"/>
            </w:tcBorders>
            <w:shd w:fill="E8EEF5" w:val="clear"/>
            <w:tcMar>
              <w:top w:type="dxa" w:w="0"/>
              <w:left w:type="dxa" w:w="80"/>
              <w:bottom w:type="dxa" w:w="0"/>
              <w:right w:type="dxa" w:w="0"/>
            </w:tcMar>
            <w:vAlign w:val="center"/>
          </w:tcPr>
          <w:p>
            <w:pPr>
              <w:spacing w:after="20" w:before="80"/>
              <w:jc w:val="right"/>
            </w:pPr>
            <w:r>
              <w:rPr>
                <w:rFonts w:ascii="Calibri" w:cs="Calibri" w:eastAsia="Calibri" w:hAnsi="Calibri"/>
                <w:b/>
                <w:bCs/>
                <w:color w:val="1F3A5F"/>
                <w:sz w:val="18"/>
                <w:szCs w:val="18"/>
              </w:rPr>
              <w:t xml:space="preserve">THE FIRST CALL GROUP, INC.</w:t>
            </w:r>
          </w:p>
          <w:p>
            <w:pPr>
              <w:spacing w:after="20"/>
              <w:jc w:val="right"/>
            </w:pPr>
            <w:r>
              <w:rPr>
                <w:rFonts w:ascii="Calibri" w:cs="Calibri" w:eastAsia="Calibri" w:hAnsi="Calibri"/>
                <w:i/>
                <w:iCs/>
                <w:color w:val="555555"/>
                <w:sz w:val="16"/>
                <w:szCs w:val="16"/>
              </w:rPr>
              <w:t xml:space="preserve">Critical Infrastructure Advisory, Governance, and Integration</w:t>
            </w:r>
          </w:p>
          <w:p>
            <w:pPr>
              <w:spacing w:after="0"/>
              <w:jc w:val="right"/>
            </w:pPr>
            <w:r>
              <w:rPr>
                <w:rFonts w:ascii="Calibri" w:cs="Calibri" w:eastAsia="Calibri" w:hAnsi="Calibri"/>
                <w:color w:val="555555"/>
                <w:sz w:val="16"/>
                <w:szCs w:val="16"/>
              </w:rPr>
              <w:t xml:space="preserve">Tucson, AZ</w:t>
            </w:r>
          </w:p>
          <w:p>
            <w:pPr>
              <w:spacing w:after="0"/>
              <w:jc w:val="right"/>
            </w:pPr>
            <w:r>
              <w:rPr>
                <w:rFonts w:ascii="Calibri" w:cs="Calibri" w:eastAsia="Calibri" w:hAnsi="Calibri"/>
                <w:color w:val="555555"/>
                <w:sz w:val="16"/>
                <w:szCs w:val="16"/>
              </w:rPr>
              <w:t xml:space="preserve">jason.agee@thefirstcallgroup.com</w:t>
            </w:r>
          </w:p>
          <w:p>
            <w:pPr>
              <w:spacing w:after="80"/>
              <w:jc w:val="right"/>
            </w:pPr>
            <w:r>
              <w:rPr>
                <w:rFonts w:ascii="Calibri" w:cs="Calibri" w:eastAsia="Calibri" w:hAnsi="Calibri"/>
                <w:color w:val="555555"/>
                <w:sz w:val="16"/>
                <w:szCs w:val="16"/>
              </w:rPr>
              <w:t xml:space="preserve">thefirstcallgroup.com</w:t>
            </w:r>
          </w:p>
        </w:tc>
      </w:tr>
    </w:tbl>
    <w:p>
      <w:pPr>
        <w:spacing w:after="120"/>
      </w:pPr>
      <w:r>
        <w:t xml:space="preserve"> </w:t>
      </w:r>
    </w:p>
    <w:p>
      <w:pPr>
        <w:spacing w:after="100"/>
        <w:jc w:val="left"/>
      </w:pPr>
      <w:r>
        <w:rPr>
          <w:rFonts w:ascii="Calibri" w:cs="Calibri" w:eastAsia="Calibri" w:hAnsi="Calibri"/>
          <w:b w:val="false"/>
          <w:bCs w:val="false"/>
          <w:i w:val="false"/>
          <w:iCs w:val="false"/>
          <w:color w:val="000000"/>
          <w:sz w:val="20"/>
          <w:szCs w:val="20"/>
        </w:rPr>
        <w:t xml:space="preserve">Angie Agee is the Cybersecurity Lead for The First Call Group, Inc. and serves as senior subject matter expert for FCG engagements involving CMMC readiness, NIST control framework implementation, operational technology cybersecurity, and the protection of critical infrastructure environments. She brings more than twenty-five years of progressive cybersecurity leadership and is positioned for senior advisor, principal investigator, key personnel, and assessor-support roles on federal, defense industrial base, utility, and critical-infrastructure engagements.</w:t>
      </w:r>
    </w:p>
    <w:p>
      <w:pPr>
        <w:pBdr>
          <w:bottom w:val="single" w:color="1F3A5F" w:sz="8" w:space="2"/>
        </w:pBdr>
        <w:spacing w:after="80" w:before="220"/>
      </w:pPr>
      <w:r>
        <w:rPr>
          <w:rFonts w:ascii="Calibri" w:cs="Calibri" w:eastAsia="Calibri" w:hAnsi="Calibri"/>
          <w:b/>
          <w:bCs/>
          <w:color w:val="1F3A5F"/>
          <w:spacing w:val="30"/>
          <w:sz w:val="24"/>
          <w:szCs w:val="24"/>
        </w:rPr>
        <w:t xml:space="preserve">CORE COMPETENCIES</w:t>
      </w:r>
    </w:p>
    <w:p>
      <w:pPr>
        <w:tabs>
          <w:tab w:val="left" w:pos="4500"/>
        </w:tabs>
        <w:spacing w:after="40"/>
      </w:pPr>
      <w:r>
        <w:rPr>
          <w:rFonts w:ascii="Calibri" w:cs="Calibri" w:eastAsia="Calibri" w:hAnsi="Calibri"/>
          <w:sz w:val="20"/>
          <w:szCs w:val="20"/>
        </w:rPr>
        <w:t xml:space="preserve">•  CMMC Readiness and Program Strategy</w:t>
      </w:r>
      <w:r>
        <w:rPr>
          <w:rFonts w:ascii="Calibri" w:cs="Calibri" w:eastAsia="Calibri" w:hAnsi="Calibri"/>
          <w:sz w:val="20"/>
          <w:szCs w:val="20"/>
        </w:rPr>
        <w:t xml:space="preserve">	•  NIST 800-171 Gap Assessment and Remediation</w:t>
      </w:r>
    </w:p>
    <w:p>
      <w:pPr>
        <w:tabs>
          <w:tab w:val="left" w:pos="4500"/>
        </w:tabs>
        <w:spacing w:after="40"/>
      </w:pPr>
      <w:r>
        <w:rPr>
          <w:rFonts w:ascii="Calibri" w:cs="Calibri" w:eastAsia="Calibri" w:hAnsi="Calibri"/>
          <w:sz w:val="20"/>
          <w:szCs w:val="20"/>
        </w:rPr>
        <w:t xml:space="preserve">•  NIST 800-53 Control Tailoring</w:t>
      </w:r>
      <w:r>
        <w:rPr>
          <w:rFonts w:ascii="Calibri" w:cs="Calibri" w:eastAsia="Calibri" w:hAnsi="Calibri"/>
          <w:sz w:val="20"/>
          <w:szCs w:val="20"/>
        </w:rPr>
        <w:t xml:space="preserve">	•  NIST Cybersecurity Framework Alignment</w:t>
      </w:r>
    </w:p>
    <w:p>
      <w:pPr>
        <w:tabs>
          <w:tab w:val="left" w:pos="4500"/>
        </w:tabs>
        <w:spacing w:after="40"/>
      </w:pPr>
      <w:r>
        <w:rPr>
          <w:rFonts w:ascii="Calibri" w:cs="Calibri" w:eastAsia="Calibri" w:hAnsi="Calibri"/>
          <w:sz w:val="20"/>
          <w:szCs w:val="20"/>
        </w:rPr>
        <w:t xml:space="preserve">•  OT/ICS Cybersecurity (NIST 800-82, IEC 62443)</w:t>
      </w:r>
      <w:r>
        <w:rPr>
          <w:rFonts w:ascii="Calibri" w:cs="Calibri" w:eastAsia="Calibri" w:hAnsi="Calibri"/>
          <w:sz w:val="20"/>
          <w:szCs w:val="20"/>
        </w:rPr>
        <w:t xml:space="preserve">	•  IT/OT Convergence Risk Management</w:t>
      </w:r>
    </w:p>
    <w:p>
      <w:pPr>
        <w:tabs>
          <w:tab w:val="left" w:pos="4500"/>
        </w:tabs>
        <w:spacing w:after="40"/>
      </w:pPr>
      <w:r>
        <w:rPr>
          <w:rFonts w:ascii="Calibri" w:cs="Calibri" w:eastAsia="Calibri" w:hAnsi="Calibri"/>
          <w:sz w:val="20"/>
          <w:szCs w:val="20"/>
        </w:rPr>
        <w:t xml:space="preserve">•  Critical Infrastructure Protection</w:t>
      </w:r>
      <w:r>
        <w:rPr>
          <w:rFonts w:ascii="Calibri" w:cs="Calibri" w:eastAsia="Calibri" w:hAnsi="Calibri"/>
          <w:sz w:val="20"/>
          <w:szCs w:val="20"/>
        </w:rPr>
        <w:t xml:space="preserve">	•  Data Center and Mission-Critical Cyber Architecture</w:t>
      </w:r>
    </w:p>
    <w:p>
      <w:pPr>
        <w:tabs>
          <w:tab w:val="left" w:pos="4500"/>
        </w:tabs>
        <w:spacing w:after="40"/>
      </w:pPr>
      <w:r>
        <w:rPr>
          <w:rFonts w:ascii="Calibri" w:cs="Calibri" w:eastAsia="Calibri" w:hAnsi="Calibri"/>
          <w:sz w:val="20"/>
          <w:szCs w:val="20"/>
        </w:rPr>
        <w:t xml:space="preserve">•  Policy, Standards, and Procedure Development</w:t>
      </w:r>
      <w:r>
        <w:rPr>
          <w:rFonts w:ascii="Calibri" w:cs="Calibri" w:eastAsia="Calibri" w:hAnsi="Calibri"/>
          <w:sz w:val="20"/>
          <w:szCs w:val="20"/>
        </w:rPr>
        <w:t xml:space="preserve">	•  Audit and Assessment Support</w:t>
      </w:r>
    </w:p>
    <w:p>
      <w:pPr>
        <w:tabs>
          <w:tab w:val="left" w:pos="4500"/>
        </w:tabs>
        <w:spacing w:after="40"/>
      </w:pPr>
      <w:r>
        <w:rPr>
          <w:rFonts w:ascii="Calibri" w:cs="Calibri" w:eastAsia="Calibri" w:hAnsi="Calibri"/>
          <w:sz w:val="20"/>
          <w:szCs w:val="20"/>
        </w:rPr>
        <w:t xml:space="preserve">•  Insider Threat and Identity Governance</w:t>
      </w:r>
      <w:r>
        <w:rPr>
          <w:rFonts w:ascii="Calibri" w:cs="Calibri" w:eastAsia="Calibri" w:hAnsi="Calibri"/>
          <w:sz w:val="20"/>
          <w:szCs w:val="20"/>
        </w:rPr>
        <w:t xml:space="preserve">	•  Incident Response Planning</w:t>
      </w:r>
    </w:p>
    <w:p>
      <w:pPr>
        <w:tabs>
          <w:tab w:val="left" w:pos="4500"/>
        </w:tabs>
        <w:spacing w:after="40"/>
      </w:pPr>
      <w:r>
        <w:rPr>
          <w:rFonts w:ascii="Calibri" w:cs="Calibri" w:eastAsia="Calibri" w:hAnsi="Calibri"/>
          <w:sz w:val="20"/>
          <w:szCs w:val="20"/>
        </w:rPr>
        <w:t xml:space="preserve">•  Supply Chain Risk Management</w:t>
      </w:r>
      <w:r>
        <w:rPr>
          <w:rFonts w:ascii="Calibri" w:cs="Calibri" w:eastAsia="Calibri" w:hAnsi="Calibri"/>
          <w:sz w:val="20"/>
          <w:szCs w:val="20"/>
        </w:rPr>
        <w:t xml:space="preserve">	•  Cybersecurity Governance Reporting</w:t>
      </w:r>
    </w:p>
    <w:p>
      <w:pPr>
        <w:tabs>
          <w:tab w:val="left" w:pos="4500"/>
        </w:tabs>
        <w:spacing w:after="40"/>
      </w:pPr>
      <w:r>
        <w:rPr>
          <w:rFonts w:ascii="Calibri" w:cs="Calibri" w:eastAsia="Calibri" w:hAnsi="Calibri"/>
          <w:sz w:val="20"/>
          <w:szCs w:val="20"/>
        </w:rPr>
        <w:t xml:space="preserve">•  Workforce Cyber Training Programs</w:t>
      </w:r>
      <w:r>
        <w:rPr>
          <w:rFonts w:ascii="Calibri" w:cs="Calibri" w:eastAsia="Calibri" w:hAnsi="Calibri"/>
          <w:sz w:val="20"/>
          <w:szCs w:val="20"/>
        </w:rPr>
        <w:t xml:space="preserve">	•  Executive and Board Communication</w:t>
      </w:r>
    </w:p>
    <w:p>
      <w:pPr>
        <w:pBdr>
          <w:bottom w:val="single" w:color="1F3A5F" w:sz="8" w:space="2"/>
        </w:pBdr>
        <w:spacing w:after="80" w:before="220"/>
      </w:pPr>
      <w:r>
        <w:rPr>
          <w:rFonts w:ascii="Calibri" w:cs="Calibri" w:eastAsia="Calibri" w:hAnsi="Calibri"/>
          <w:b/>
          <w:bCs/>
          <w:color w:val="1F3A5F"/>
          <w:spacing w:val="30"/>
          <w:sz w:val="24"/>
          <w:szCs w:val="24"/>
        </w:rPr>
        <w:t xml:space="preserve">ENGAGEMENT PROFILES</w:t>
      </w:r>
    </w:p>
    <w:p>
      <w:pPr>
        <w:pStyle w:val="ListParagraph"/>
        <w:numPr>
          <w:ilvl w:val="0"/>
          <w:numId w:val="2"/>
        </w:numPr>
        <w:spacing w:after="40"/>
      </w:pPr>
      <w:r>
        <w:rPr>
          <w:rFonts w:ascii="Calibri" w:cs="Calibri" w:eastAsia="Calibri" w:hAnsi="Calibri"/>
          <w:sz w:val="20"/>
          <w:szCs w:val="20"/>
        </w:rPr>
        <w:t xml:space="preserve">CMMC readiness assessment and remediation planning for defense industrial base contractors.</w:t>
      </w:r>
    </w:p>
    <w:p>
      <w:pPr>
        <w:pStyle w:val="ListParagraph"/>
        <w:numPr>
          <w:ilvl w:val="0"/>
          <w:numId w:val="2"/>
        </w:numPr>
        <w:spacing w:after="40"/>
      </w:pPr>
      <w:r>
        <w:rPr>
          <w:rFonts w:ascii="Calibri" w:cs="Calibri" w:eastAsia="Calibri" w:hAnsi="Calibri"/>
          <w:sz w:val="20"/>
          <w:szCs w:val="20"/>
        </w:rPr>
        <w:t xml:space="preserve">NIST 800-171 and 800-53 gap analysis, control implementation, and ongoing compliance support.</w:t>
      </w:r>
    </w:p>
    <w:p>
      <w:pPr>
        <w:pStyle w:val="ListParagraph"/>
        <w:numPr>
          <w:ilvl w:val="0"/>
          <w:numId w:val="2"/>
        </w:numPr>
        <w:spacing w:after="40"/>
      </w:pPr>
      <w:r>
        <w:rPr>
          <w:rFonts w:ascii="Calibri" w:cs="Calibri" w:eastAsia="Calibri" w:hAnsi="Calibri"/>
          <w:sz w:val="20"/>
          <w:szCs w:val="20"/>
        </w:rPr>
        <w:t xml:space="preserve">OT/ICS cybersecurity reviews for utilities, data center operators, and industrial environments.</w:t>
      </w:r>
    </w:p>
    <w:p>
      <w:pPr>
        <w:pStyle w:val="ListParagraph"/>
        <w:numPr>
          <w:ilvl w:val="0"/>
          <w:numId w:val="2"/>
        </w:numPr>
        <w:spacing w:after="40"/>
      </w:pPr>
      <w:r>
        <w:rPr>
          <w:rFonts w:ascii="Calibri" w:cs="Calibri" w:eastAsia="Calibri" w:hAnsi="Calibri"/>
          <w:sz w:val="20"/>
          <w:szCs w:val="20"/>
        </w:rPr>
        <w:t xml:space="preserve">Cybersecurity governance and policy development for critical-infrastructure owners.</w:t>
      </w:r>
    </w:p>
    <w:p>
      <w:pPr>
        <w:pStyle w:val="ListParagraph"/>
        <w:numPr>
          <w:ilvl w:val="0"/>
          <w:numId w:val="2"/>
        </w:numPr>
        <w:spacing w:after="40"/>
      </w:pPr>
      <w:r>
        <w:rPr>
          <w:rFonts w:ascii="Calibri" w:cs="Calibri" w:eastAsia="Calibri" w:hAnsi="Calibri"/>
          <w:sz w:val="20"/>
          <w:szCs w:val="20"/>
        </w:rPr>
        <w:t xml:space="preserve">Independent third-party advisory and assessor-support roles.</w:t>
      </w:r>
    </w:p>
    <w:p>
      <w:pPr>
        <w:pBdr>
          <w:bottom w:val="single" w:color="1F3A5F" w:sz="8" w:space="2"/>
        </w:pBdr>
        <w:spacing w:after="80" w:before="220"/>
      </w:pPr>
      <w:r>
        <w:rPr>
          <w:rFonts w:ascii="Calibri" w:cs="Calibri" w:eastAsia="Calibri" w:hAnsi="Calibri"/>
          <w:b/>
          <w:bCs/>
          <w:color w:val="1F3A5F"/>
          <w:spacing w:val="30"/>
          <w:sz w:val="24"/>
          <w:szCs w:val="24"/>
        </w:rPr>
        <w:t xml:space="preserve">DIFFERENTIATORS</w:t>
      </w:r>
    </w:p>
    <w:p>
      <w:pPr>
        <w:pStyle w:val="ListParagraph"/>
        <w:numPr>
          <w:ilvl w:val="0"/>
          <w:numId w:val="2"/>
        </w:numPr>
        <w:spacing w:after="40"/>
      </w:pPr>
      <w:r>
        <w:rPr>
          <w:rFonts w:ascii="Calibri" w:cs="Calibri" w:eastAsia="Calibri" w:hAnsi="Calibri"/>
          <w:sz w:val="20"/>
          <w:szCs w:val="20"/>
        </w:rPr>
        <w:t xml:space="preserve">Senior IT and OT cybersecurity expertise in a single advisor.</w:t>
      </w:r>
    </w:p>
    <w:p>
      <w:pPr>
        <w:pStyle w:val="ListParagraph"/>
        <w:numPr>
          <w:ilvl w:val="0"/>
          <w:numId w:val="2"/>
        </w:numPr>
        <w:spacing w:after="40"/>
      </w:pPr>
      <w:r>
        <w:rPr>
          <w:rFonts w:ascii="Calibri" w:cs="Calibri" w:eastAsia="Calibri" w:hAnsi="Calibri"/>
          <w:sz w:val="20"/>
          <w:szCs w:val="20"/>
        </w:rPr>
        <w:t xml:space="preserve">CMMC-current and NIST control fluent — focused on the frameworks actually used to evaluate federal compliance posture.</w:t>
      </w:r>
    </w:p>
    <w:p>
      <w:pPr>
        <w:pStyle w:val="ListParagraph"/>
        <w:numPr>
          <w:ilvl w:val="0"/>
          <w:numId w:val="2"/>
        </w:numPr>
        <w:spacing w:after="40"/>
      </w:pPr>
      <w:r>
        <w:rPr>
          <w:rFonts w:ascii="Calibri" w:cs="Calibri" w:eastAsia="Calibri" w:hAnsi="Calibri"/>
          <w:sz w:val="20"/>
          <w:szCs w:val="20"/>
        </w:rPr>
        <w:t xml:space="preserve">Embedded inside an infrastructure engineering practice, allowing cybersecurity to be designed in alongside power, cooling, telemetry, and capital.</w:t>
      </w:r>
    </w:p>
    <w:p>
      <w:pPr>
        <w:pStyle w:val="ListParagraph"/>
        <w:numPr>
          <w:ilvl w:val="0"/>
          <w:numId w:val="2"/>
        </w:numPr>
        <w:spacing w:after="40"/>
      </w:pPr>
      <w:r>
        <w:rPr>
          <w:rFonts w:ascii="Calibri" w:cs="Calibri" w:eastAsia="Calibri" w:hAnsi="Calibri"/>
          <w:sz w:val="20"/>
          <w:szCs w:val="20"/>
        </w:rPr>
        <w:t xml:space="preserve">Tucson, Arizona-based, supporting DoD and DOE-adjacent work across the Southwest.</w:t>
      </w:r>
    </w:p>
    <w:p>
      <w:pPr>
        <w:pBdr>
          <w:bottom w:val="single" w:color="1F3A5F" w:sz="8" w:space="2"/>
        </w:pBdr>
        <w:spacing w:after="80" w:before="220"/>
      </w:pPr>
      <w:r>
        <w:rPr>
          <w:rFonts w:ascii="Calibri" w:cs="Calibri" w:eastAsia="Calibri" w:hAnsi="Calibri"/>
          <w:b/>
          <w:bCs/>
          <w:color w:val="1F3A5F"/>
          <w:spacing w:val="30"/>
          <w:sz w:val="24"/>
          <w:szCs w:val="24"/>
        </w:rPr>
        <w:t xml:space="preserve">SUITABLE CONTRACT VEHICLES AND CATEGORIES</w:t>
      </w:r>
    </w:p>
    <w:p>
      <w:pPr>
        <w:spacing w:after="100"/>
        <w:jc w:val="left"/>
      </w:pPr>
      <w:r>
        <w:rPr>
          <w:rFonts w:ascii="Calibri" w:cs="Calibri" w:eastAsia="Calibri" w:hAnsi="Calibri"/>
          <w:b w:val="false"/>
          <w:bCs w:val="false"/>
          <w:i w:val="false"/>
          <w:iCs w:val="false"/>
          <w:color w:val="000000"/>
          <w:sz w:val="20"/>
          <w:szCs w:val="20"/>
        </w:rPr>
        <w:t xml:space="preserve">Computer systems design services (NAICS 541512), other computer related services (541519), administrative management and general management consulting (541611), other management consulting (541618), other scientific and technical consulting (541690), and research and development in physical, engineering, and life sciences (541715). Suitable as prime or subcontractor key personnel on Department of Defense, Department of Energy, Cybersecurity and Infrastructure Security Agency (CISA), General Services Administration, and national laboratory cybersecurity engagements.</w:t>
      </w:r>
    </w:p>
    <w:sectPr>
      <w:footerReference w:type="default" r:id="rId7"/>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A5F" w:sz="8" w:space="2"/>
      </w:pBdr>
      <w:spacing w:after="20" w:before="80"/>
      <w:jc w:val="center"/>
    </w:pPr>
    <w:r>
      <w:rPr>
        <w:rFonts w:ascii="Calibri" w:cs="Calibri" w:eastAsia="Calibri" w:hAnsi="Calibri"/>
        <w:color w:val="555555"/>
        <w:sz w:val="14"/>
        <w:szCs w:val="14"/>
      </w:rPr>
      <w:t xml:space="preserve">The First Call Group, Inc.  •  Tucson, AZ  •  thefirstcallgroup.com  •  jason.agee@thefirstcallgroup.com</w:t>
    </w:r>
  </w:p>
  <w:p>
    <w:pPr>
      <w:spacing w:after="0"/>
      <w:jc w:val="center"/>
    </w:pPr>
    <w:r>
      <w:rPr>
        <w:rFonts w:ascii="Calibri" w:cs="Calibri" w:eastAsia="Calibri" w:hAnsi="Calibri"/>
        <w:i/>
        <w:iCs/>
        <w:color w:val="555555"/>
        <w:sz w:val="12"/>
        <w:szCs w:val="12"/>
      </w:rPr>
      <w:t xml:space="preserve">[UEI: insert]   [CAGE: insert]   •   Small Business • [Veteran-Owned / SDVOSB pending] • [HUBZone pending] • UCP-eligible (AZ)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FCG Capability Statement — Angie Agee</dc:title>
  <dc:creator>The First Call Group, Inc.</dc:creator>
  <cp:lastModifiedBy>Un-named</cp:lastModifiedBy>
  <cp:revision>1</cp:revision>
  <dcterms:created xsi:type="dcterms:W3CDTF">2026-05-16T16:24:23.791Z</dcterms:created>
  <dcterms:modified xsi:type="dcterms:W3CDTF">2026-05-16T16:24:23.791Z</dcterms:modified>
</cp:coreProperties>
</file>

<file path=docProps/custom.xml><?xml version="1.0" encoding="utf-8"?>
<Properties xmlns="http://schemas.openxmlformats.org/officeDocument/2006/custom-properties" xmlns:vt="http://schemas.openxmlformats.org/officeDocument/2006/docPropsVTypes"/>
</file>