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Pr>
      <w:tblGrid>
        <w:gridCol w:w="5112"/>
        <w:gridCol w:w="5112"/>
      </w:tblGrid>
      <w:tr>
        <w:tc>
          <w:tcPr>
            <w:tcW w:type="dxa" w:w="5112"/>
          </w:tcPr>
          <w:p>
            <w:r>
              <w:rPr>
                <w:b/>
                <w:color w:val="1F3A5F"/>
                <w:sz w:val="22"/>
              </w:rPr>
              <w:t>CAPABILITY STATEMENT</w:t>
              <w:br/>
            </w:r>
            <w:r>
              <w:rPr>
                <w:b/>
                <w:color w:val="1F3A5F"/>
                <w:sz w:val="30"/>
              </w:rPr>
              <w:t>Cheyan DuVal</w:t>
              <w:br/>
            </w:r>
            <w:r>
              <w:rPr>
                <w:color w:val="1F3A5F"/>
                <w:sz w:val="20"/>
              </w:rPr>
              <w:t>Associate Consultant — Executive Operations, Program Administration &amp; Analytics</w:t>
            </w:r>
          </w:p>
        </w:tc>
        <w:tc>
          <w:tcPr>
            <w:tcW w:type="dxa" w:w="5112"/>
          </w:tcPr>
          <w:p>
            <w:pPr>
              <w:jc w:val="right"/>
            </w:pPr>
            <w:r>
              <w:rPr>
                <w:b/>
                <w:color w:val="1F3A5F"/>
                <w:sz w:val="20"/>
              </w:rPr>
              <w:t>THE FIRST CALL GROUP, INC.</w:t>
              <w:br/>
            </w:r>
            <w:r>
              <w:rPr>
                <w:b w:val="0"/>
                <w:color w:val="1F3A5F"/>
                <w:sz w:val="16"/>
              </w:rPr>
              <w:t>Critical Infrastructure Advisory, Governance, and Integration</w:t>
              <w:br/>
            </w:r>
            <w:r>
              <w:rPr>
                <w:b w:val="0"/>
                <w:color w:val="1F3A5F"/>
                <w:sz w:val="16"/>
              </w:rPr>
              <w:t>Tucson, AZ</w:t>
              <w:br/>
            </w:r>
            <w:r>
              <w:rPr>
                <w:b w:val="0"/>
                <w:color w:val="1F3A5F"/>
                <w:sz w:val="16"/>
              </w:rPr>
              <w:t>jason.agee@thefirstcallgroup.com</w:t>
              <w:br/>
            </w:r>
            <w:r>
              <w:rPr>
                <w:b w:val="0"/>
                <w:color w:val="1F3A5F"/>
                <w:sz w:val="16"/>
              </w:rPr>
              <w:t>thefirstcallgroup.com</w:t>
              <w:br/>
            </w:r>
          </w:p>
        </w:tc>
      </w:tr>
    </w:tbl>
    <w:p/>
    <w:p>
      <w:pPr>
        <w:spacing w:after="80"/>
      </w:pPr>
      <w:r>
        <w:rPr>
          <w:sz w:val="21"/>
        </w:rPr>
        <w:t>Cheyan DuVal is a Washington, D.C.–based (relocating from Seattle, Washington on July 1, 2026) executive operations, program administration, and analytics professional offered through The First Call Group bench for federal, state, and commercial task orders requiring senior administrative coordination, multidisciplinary program operations, procurement and global logistics support, real-time data monitoring and anomaly analysis, and executive-level discretion in high-security environments. She brings six years of progressive direct experience spanning a $25M Microsoft account, a $1M founder-led global e-commerce enterprise active across 10+ countries, NGO general-counsel-style leadership, and ongoing private consulting and intelligence research. She is a U.S. citizen and is eligible to obtain a federal security clearance with sponsorship.</w:t>
      </w:r>
    </w:p>
    <w:p>
      <w:pPr>
        <w:spacing w:before="200" w:after="60"/>
      </w:pPr>
      <w:r>
        <w:rPr>
          <w:b/>
          <w:color w:val="1F3A5F"/>
          <w:sz w:val="23"/>
        </w:rPr>
        <w:t>CORE COMPETENCIES</w:t>
      </w:r>
    </w:p>
    <w:tbl>
      <w:tblPr>
        <w:tblW w:type="auto" w:w="0"/>
        <w:tblLook w:firstColumn="1" w:firstRow="1" w:lastColumn="0" w:lastRow="0" w:noHBand="0" w:noVBand="1" w:val="04A0"/>
      </w:tblPr>
      <w:tblGrid>
        <w:gridCol w:w="5112"/>
        <w:gridCol w:w="5112"/>
      </w:tblGrid>
      <w:tr>
        <w:tc>
          <w:tcPr>
            <w:tcW w:type="dxa" w:w="5112"/>
          </w:tcPr>
          <w:p>
            <w:r>
              <w:rPr>
                <w:sz w:val="20"/>
              </w:rPr>
              <w:t>•  Executive Administration &amp; Cross-Border Calendar Management</w:t>
            </w:r>
          </w:p>
        </w:tc>
        <w:tc>
          <w:tcPr>
            <w:tcW w:type="dxa" w:w="5112"/>
          </w:tcPr>
          <w:p>
            <w:r>
              <w:rPr>
                <w:sz w:val="20"/>
              </w:rPr>
              <w:t>•  Global Supply Chain &amp; End-to-End Logistics (10+ Countries)</w:t>
            </w:r>
          </w:p>
        </w:tc>
      </w:tr>
      <w:tr>
        <w:tc>
          <w:tcPr>
            <w:tcW w:type="dxa" w:w="5112"/>
          </w:tcPr>
          <w:p>
            <w:r>
              <w:rPr>
                <w:sz w:val="20"/>
              </w:rPr>
              <w:t>•  Multidisciplinary Team Coordination &amp; Resource Allocation</w:t>
            </w:r>
          </w:p>
        </w:tc>
        <w:tc>
          <w:tcPr>
            <w:tcW w:type="dxa" w:w="5112"/>
          </w:tcPr>
          <w:p>
            <w:r>
              <w:rPr>
                <w:sz w:val="20"/>
              </w:rPr>
              <w:t>•  Trade Compliance, Customs &amp; Import/Export Coordination</w:t>
            </w:r>
          </w:p>
        </w:tc>
      </w:tr>
      <w:tr>
        <w:tc>
          <w:tcPr>
            <w:tcW w:type="dxa" w:w="5112"/>
          </w:tcPr>
          <w:p>
            <w:r>
              <w:rPr>
                <w:sz w:val="20"/>
              </w:rPr>
              <w:t>•  Technical Writing (Proposals, Grants, SOPs, Executive Briefs)</w:t>
            </w:r>
          </w:p>
        </w:tc>
        <w:tc>
          <w:tcPr>
            <w:tcW w:type="dxa" w:w="5112"/>
          </w:tcPr>
          <w:p>
            <w:r>
              <w:rPr>
                <w:sz w:val="20"/>
              </w:rPr>
              <w:t>•  High-Volume Procurement &amp; Strategic Sourcing</w:t>
            </w:r>
          </w:p>
        </w:tc>
      </w:tr>
      <w:tr>
        <w:tc>
          <w:tcPr>
            <w:tcW w:type="dxa" w:w="5112"/>
          </w:tcPr>
          <w:p>
            <w:r>
              <w:rPr>
                <w:sz w:val="20"/>
              </w:rPr>
              <w:t>•  Operational Auditing &amp; Workflow Architecture</w:t>
            </w:r>
          </w:p>
        </w:tc>
        <w:tc>
          <w:tcPr>
            <w:tcW w:type="dxa" w:w="5112"/>
          </w:tcPr>
          <w:p>
            <w:r>
              <w:rPr>
                <w:sz w:val="20"/>
              </w:rPr>
              <w:t>•  Vendor Qualification, Onboarding &amp; Quality Assurance</w:t>
            </w:r>
          </w:p>
        </w:tc>
      </w:tr>
      <w:tr>
        <w:tc>
          <w:tcPr>
            <w:tcW w:type="dxa" w:w="5112"/>
          </w:tcPr>
          <w:p>
            <w:r>
              <w:rPr>
                <w:sz w:val="20"/>
              </w:rPr>
              <w:t>•  Data Collection, Categorization &amp; Secure Archiving</w:t>
            </w:r>
          </w:p>
        </w:tc>
        <w:tc>
          <w:tcPr>
            <w:tcW w:type="dxa" w:w="5112"/>
          </w:tcPr>
          <w:p>
            <w:r>
              <w:rPr>
                <w:sz w:val="20"/>
              </w:rPr>
              <w:t>•  Web Development &amp; Digital Infrastructure Maintenance</w:t>
            </w:r>
          </w:p>
        </w:tc>
      </w:tr>
      <w:tr>
        <w:tc>
          <w:tcPr>
            <w:tcW w:type="dxa" w:w="5112"/>
          </w:tcPr>
          <w:p>
            <w:r>
              <w:rPr>
                <w:sz w:val="20"/>
              </w:rPr>
              <w:t>•  Real-Time Telemetry &amp; Open-Source Data Monitoring</w:t>
            </w:r>
          </w:p>
        </w:tc>
        <w:tc>
          <w:tcPr>
            <w:tcW w:type="dxa" w:w="5112"/>
          </w:tcPr>
          <w:p>
            <w:r>
              <w:rPr>
                <w:sz w:val="20"/>
              </w:rPr>
              <w:t>•  Contract Lifecycle, Licensing &amp; IP / Trademark Filings</w:t>
            </w:r>
          </w:p>
        </w:tc>
      </w:tr>
      <w:tr>
        <w:tc>
          <w:tcPr>
            <w:tcW w:type="dxa" w:w="5112"/>
          </w:tcPr>
          <w:p>
            <w:r>
              <w:rPr>
                <w:sz w:val="20"/>
              </w:rPr>
              <w:t>•  Pattern Recognition &amp; Anomaly Detection</w:t>
            </w:r>
          </w:p>
        </w:tc>
        <w:tc>
          <w:tcPr>
            <w:tcW w:type="dxa" w:w="5112"/>
          </w:tcPr>
          <w:p>
            <w:r>
              <w:rPr>
                <w:sz w:val="20"/>
              </w:rPr>
              <w:t>•  Microsoft 365, Google Workspace, Adobe Suite, CRM, POS</w:t>
            </w:r>
          </w:p>
        </w:tc>
      </w:tr>
      <w:tr>
        <w:tc>
          <w:tcPr>
            <w:tcW w:type="dxa" w:w="5112"/>
          </w:tcPr>
          <w:p>
            <w:r>
              <w:rPr>
                <w:sz w:val="20"/>
              </w:rPr>
              <w:t>•  Intelligence Synthesis &amp; Executive Briefing Development</w:t>
            </w:r>
          </w:p>
        </w:tc>
        <w:tc>
          <w:tcPr>
            <w:tcW w:type="dxa" w:w="5112"/>
          </w:tcPr>
          <w:p>
            <w:r>
              <w:rPr>
                <w:sz w:val="20"/>
              </w:rPr>
              <w:t>•  De-escalation, Situational Awareness &amp; High-Stakes Discretion</w:t>
            </w:r>
          </w:p>
        </w:tc>
      </w:tr>
    </w:tbl>
    <w:p>
      <w:pPr>
        <w:spacing w:before="200" w:after="60"/>
      </w:pPr>
      <w:r>
        <w:rPr>
          <w:b/>
          <w:color w:val="1F3A5F"/>
          <w:sz w:val="23"/>
        </w:rPr>
        <w:t>SUITABLE CONTRACT TYPES</w:t>
      </w:r>
    </w:p>
    <w:p>
      <w:pPr>
        <w:spacing w:after="80"/>
      </w:pPr>
      <w:r>
        <w:rPr>
          <w:sz w:val="20"/>
        </w:rPr>
        <w:t>Cheyan is positioned for FCG engagements and federal or state task orders in the following categories:</w:t>
      </w:r>
    </w:p>
    <w:p>
      <w:pPr>
        <w:pStyle w:val="ListBullet"/>
      </w:pPr>
      <w:r>
        <w:rPr>
          <w:sz w:val="20"/>
        </w:rPr>
        <w:t>Executive administrative, calendar, and office management support inside federal facilities, GSA-leased space, and prime contractor corporate campuses across the National Capital Region (Washington, DC, Virginia, and Maryland).</w:t>
      </w:r>
    </w:p>
    <w:p>
      <w:pPr>
        <w:pStyle w:val="ListBullet"/>
      </w:pPr>
      <w:r>
        <w:rPr>
          <w:sz w:val="20"/>
        </w:rPr>
        <w:t>Program administration, multidisciplinary team coordination, and operations support inside larger facilities, operations, or services contracts.</w:t>
      </w:r>
    </w:p>
    <w:p>
      <w:pPr>
        <w:pStyle w:val="ListBullet"/>
      </w:pPr>
      <w:r>
        <w:rPr>
          <w:sz w:val="20"/>
        </w:rPr>
        <w:t>Procurement, vendor management, strategic sourcing, and supply chain coordination support — leveraging six years of global import/export and customs experience across 10+ countries.</w:t>
      </w:r>
    </w:p>
    <w:p>
      <w:pPr>
        <w:pStyle w:val="ListBullet"/>
      </w:pPr>
      <w:r>
        <w:rPr>
          <w:sz w:val="20"/>
        </w:rPr>
        <w:t>Data management, telemetry monitoring, anomaly detection, and analytical support for operations centers, watch floors, and program offices.</w:t>
      </w:r>
    </w:p>
    <w:p>
      <w:pPr>
        <w:pStyle w:val="ListBullet"/>
      </w:pPr>
      <w:r>
        <w:rPr>
          <w:sz w:val="20"/>
        </w:rPr>
        <w:t>Contract administration, licensing, and intellectual property coordination inside larger operations or general counsel support engagements.</w:t>
      </w:r>
    </w:p>
    <w:p>
      <w:pPr>
        <w:pStyle w:val="ListBullet"/>
      </w:pPr>
      <w:r>
        <w:rPr>
          <w:sz w:val="20"/>
        </w:rPr>
        <w:t>Web development and digital infrastructure support inside larger administrative, communications, or program operations contracts.</w:t>
      </w:r>
    </w:p>
    <w:p>
      <w:pPr>
        <w:pStyle w:val="ListBullet"/>
      </w:pPr>
      <w:r>
        <w:rPr>
          <w:sz w:val="20"/>
        </w:rPr>
        <w:t>Cybersecurity-adjacent operations and analyst-track support roles, with sponsor-funded clearance pathway available.</w:t>
      </w:r>
    </w:p>
    <w:p>
      <w:pPr>
        <w:spacing w:before="200" w:after="60"/>
      </w:pPr>
      <w:r>
        <w:rPr>
          <w:b/>
          <w:color w:val="1F3A5F"/>
          <w:sz w:val="23"/>
        </w:rPr>
        <w:t>DEMONSTRATED EXPERIENCE</w:t>
      </w:r>
    </w:p>
    <w:p>
      <w:r>
        <w:rPr>
          <w:b/>
          <w:sz w:val="21"/>
        </w:rPr>
        <w:t>Personal Assistant — Pepper's Personal Assistants, Seattle, WA</w:t>
      </w:r>
      <w:r>
        <w:rPr>
          <w:i/>
          <w:sz w:val="19"/>
        </w:rPr>
        <w:t xml:space="preserve">   (January 2026 – Present)</w:t>
      </w:r>
    </w:p>
    <w:p>
      <w:pPr>
        <w:spacing w:after="80"/>
      </w:pPr>
      <w:r>
        <w:rPr>
          <w:sz w:val="20"/>
        </w:rPr>
        <w:t>Orchestrates day-to-day facility and program operations against milestone and budget targets; runs end-to-end purchasing and strategic sourcing pipelines, including vendor vetting, onboarding, and management; manages complex multi-timezone calendars, travel coordination, and detailed itineraries; oversees material logistics and inventory for vital facility assets.</w:t>
      </w:r>
    </w:p>
    <w:p>
      <w:r>
        <w:rPr>
          <w:b/>
          <w:sz w:val="21"/>
        </w:rPr>
        <w:t>Vice President — International Aroid Society (Global NGO), Remote</w:t>
      </w:r>
      <w:r>
        <w:rPr>
          <w:i/>
          <w:sz w:val="19"/>
        </w:rPr>
        <w:t xml:space="preserve">   (March 2024 – May 2026)</w:t>
      </w:r>
    </w:p>
    <w:p>
      <w:pPr>
        <w:spacing w:after="80"/>
      </w:pPr>
      <w:r>
        <w:rPr>
          <w:sz w:val="20"/>
        </w:rPr>
        <w:t>Principal authority for organizational legal matters across the full lifecycle of contracts, licensing agreements, and intellectual-property filings; directed global multi-channel editorial and communication strategy, brand-aligned digital asset creation, web maintenance, and technical content publishing; coordinated remote cross-functional teams for large-scale event logistics, milestone tracking, and grant-proposal compliance under compressed timelines.</w:t>
      </w:r>
    </w:p>
    <w:p>
      <w:r>
        <w:rPr>
          <w:b/>
          <w:sz w:val="21"/>
        </w:rPr>
        <w:t>Founder &amp; Chief Executive Officer — CheyDPlantLady, Seattle, WA</w:t>
      </w:r>
      <w:r>
        <w:rPr>
          <w:i/>
          <w:sz w:val="19"/>
        </w:rPr>
        <w:t xml:space="preserve">   (February 2019 – November 2025)</w:t>
      </w:r>
    </w:p>
    <w:p>
      <w:pPr>
        <w:spacing w:after="80"/>
      </w:pPr>
      <w:r>
        <w:rPr>
          <w:sz w:val="20"/>
        </w:rPr>
        <w:t>Architected and managed an end-to-end global supply chain for 900+ unique classifications across 7 international nodes and 10+ countries, including import/export regulatory compliance and customs coordination; self-taught custom web development and maintenance to move 250,000+ units via a high-volume Shopify framework; scaled the business to $1M lifetime revenue with full P&amp;L ownership; brokered a secure $31,000 single-asset acquisition under strict non-disclosure for private luxury clientele.</w:t>
      </w:r>
    </w:p>
    <w:p>
      <w:r>
        <w:rPr>
          <w:b/>
          <w:sz w:val="21"/>
        </w:rPr>
        <w:t>Private Consultant &amp; Researcher — Private Consulting, Remote</w:t>
      </w:r>
      <w:r>
        <w:rPr>
          <w:i/>
          <w:sz w:val="19"/>
        </w:rPr>
        <w:t xml:space="preserve">   (July 2020 – Present)</w:t>
      </w:r>
    </w:p>
    <w:p>
      <w:pPr>
        <w:spacing w:after="80"/>
      </w:pPr>
      <w:r>
        <w:rPr>
          <w:sz w:val="20"/>
        </w:rPr>
        <w:t>Executes autonomous and collaborative research initiatives producing structured executive briefings; performs real-time telemetry monitoring across disparate data streams (including geospatial, seismic, and heliophysics sources) to identify and map anomalous environmental occurrences to active variables; compiles heterogeneous raw data into highly secure structures to maximize information integrity and long-term digital archiving.</w:t>
      </w:r>
    </w:p>
    <w:p>
      <w:r>
        <w:rPr>
          <w:b/>
          <w:sz w:val="21"/>
        </w:rPr>
        <w:t>Catering Sous Chef — Microsoft, Redmond, WA</w:t>
      </w:r>
      <w:r>
        <w:rPr>
          <w:i/>
          <w:sz w:val="19"/>
        </w:rPr>
        <w:t xml:space="preserve">   (August 2018 – April 2022)</w:t>
      </w:r>
    </w:p>
    <w:p>
      <w:pPr>
        <w:spacing w:after="80"/>
      </w:pPr>
      <w:r>
        <w:rPr>
          <w:sz w:val="20"/>
        </w:rPr>
        <w:t>Executed high-profile, schedule-driven events for C-suite executives and global public figures under strict absolute-confidentiality protocols within a high-security corporate environment; directed daily operations and production timelines for a $25M account, managing an integrated 20+ person team; governed multi-purveyor procurement tracking, inventory controls, and meticulous health, safety, and regulatory compliance records.</w:t>
      </w:r>
    </w:p>
    <w:p>
      <w:pPr>
        <w:spacing w:before="200" w:after="60"/>
      </w:pPr>
      <w:r>
        <w:rPr>
          <w:b/>
          <w:color w:val="1F3A5F"/>
          <w:sz w:val="23"/>
        </w:rPr>
        <w:t>DIFFERENTIATORS</w:t>
      </w:r>
    </w:p>
    <w:p>
      <w:pPr>
        <w:pStyle w:val="ListBullet"/>
      </w:pPr>
      <w:r>
        <w:rPr>
          <w:sz w:val="20"/>
        </w:rPr>
        <w:t>Executive presence and high-security grounding — proven discretion supporting C-suite executives, private luxury clientele, and global public figures under strict non-disclosure protocols.</w:t>
      </w:r>
    </w:p>
    <w:p>
      <w:pPr>
        <w:pStyle w:val="ListBullet"/>
      </w:pPr>
      <w:r>
        <w:rPr>
          <w:sz w:val="20"/>
        </w:rPr>
        <w:t>Pattern synthesis for crisis preemption — advanced cognitive ability to isolate anomalies and correlations across complex environmental, logistical, and organizational datasets to mitigate operational risk before it becomes a threat.</w:t>
      </w:r>
    </w:p>
    <w:p>
      <w:pPr>
        <w:pStyle w:val="ListBullet"/>
      </w:pPr>
      <w:r>
        <w:rPr>
          <w:sz w:val="20"/>
        </w:rPr>
        <w:t>Cross-jurisdictional regulatory navigation — proven execution of multi-national customs, import/export, and trade-compliance frameworks across 10+ countries under zero-failure timelines.</w:t>
      </w:r>
    </w:p>
    <w:p>
      <w:pPr>
        <w:pStyle w:val="ListBullet"/>
      </w:pPr>
      <w:r>
        <w:rPr>
          <w:sz w:val="20"/>
        </w:rPr>
        <w:t>Full-stack operational autonomy — hybrid skillset combining administrative and legal governance (contracts, trademarks, licensing) with technical execution (web systems, data migration, global logistics), eliminating the need for organizational hand-holding.</w:t>
      </w:r>
    </w:p>
    <w:p>
      <w:pPr>
        <w:pStyle w:val="ListBullet"/>
      </w:pPr>
      <w:r>
        <w:rPr>
          <w:sz w:val="20"/>
        </w:rPr>
        <w:t>National Capital Region availability — relocating to Washington, DC on July 1, 2026, with on-site availability across Washington, DC, Virginia, and Maryland plus up to 30% travel.</w:t>
      </w:r>
    </w:p>
    <w:p>
      <w:pPr>
        <w:pStyle w:val="ListBullet"/>
      </w:pPr>
      <w:r>
        <w:rPr>
          <w:sz w:val="20"/>
        </w:rPr>
        <w:t>U.S. citizen, currently uncleared; eligible to obtain a federal security clearance with sponsorship.</w:t>
      </w:r>
    </w:p>
    <w:p>
      <w:pPr>
        <w:pStyle w:val="ListBullet"/>
      </w:pPr>
      <w:r>
        <w:rPr>
          <w:sz w:val="20"/>
        </w:rPr>
        <w:t>Operates under FCG governance, with onboarding, timekeeping, screening, and quality oversight handled by the prime.</w:t>
      </w:r>
    </w:p>
    <w:p>
      <w:pPr>
        <w:spacing w:before="200" w:after="60"/>
      </w:pPr>
      <w:r>
        <w:rPr>
          <w:b/>
          <w:color w:val="1F3A5F"/>
          <w:sz w:val="23"/>
        </w:rPr>
        <w:t>SUITABLE CONTRACT VEHICLES AND CATEGORIES</w:t>
      </w:r>
    </w:p>
    <w:p>
      <w:pPr>
        <w:spacing w:after="80"/>
      </w:pPr>
      <w:r>
        <w:rPr>
          <w:sz w:val="20"/>
        </w:rPr>
        <w:t>Office administrative services (NAICS 561110), facilities support services (561210), temporary help services (561320), all other business support services (561499), administrative management and general management consulting (541611), other management consulting (541618), process, physical distribution, and logistics consulting (541614), and other scientific and technical consulting (541690). Suitable as named candidate or staff-augmentation resource on federal administrative, operations, procurement, and analyst-track task orders across the National Capital Region and Pacific Northwest, and on prime contractor corporate-campus operations engagements.</w:t>
      </w:r>
    </w:p>
    <w:p>
      <w:pPr>
        <w:spacing w:before="200" w:after="60"/>
      </w:pPr>
      <w:r>
        <w:rPr>
          <w:b/>
          <w:color w:val="1F3A5F"/>
          <w:sz w:val="23"/>
        </w:rPr>
        <w:t>ENGAGEMENT THROUGH THE FIRST CALL GROUP</w:t>
      </w:r>
    </w:p>
    <w:p>
      <w:pPr>
        <w:spacing w:after="80"/>
      </w:pPr>
      <w:r>
        <w:rPr>
          <w:sz w:val="20"/>
        </w:rPr>
        <w:t>Cheyan DuVal is offered as a contract resource under The First Call Group, Inc. FCG retains responsibility for contract administration, governance, timekeeping, security and background screening, training compliance, and quality oversight. Direct candidate contact should be coordinated through FCG.</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