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autofit"/>
        <w:tblLook w:firstColumn="1" w:firstRow="1" w:lastColumn="0" w:lastRow="0" w:noHBand="0" w:noVBand="1" w:val="04A0"/>
      </w:tblPr>
      <w:tblGrid>
        <w:gridCol w:w="5112"/>
        <w:gridCol w:w="5112"/>
      </w:tblGrid>
      <w:tr>
        <w:tc>
          <w:tcPr>
            <w:tcW w:type="dxa" w:w="5112"/>
          </w:tcPr>
          <w:p>
            <w:r>
              <w:rPr>
                <w:b/>
                <w:color w:val="1F3A5F"/>
                <w:sz w:val="22"/>
              </w:rPr>
              <w:t>CAPABILITY STATEMENT</w:t>
              <w:br/>
            </w:r>
            <w:r>
              <w:rPr>
                <w:b/>
                <w:color w:val="1F3A5F"/>
                <w:sz w:val="30"/>
              </w:rPr>
              <w:t>Daniel S. Casarez</w:t>
              <w:br/>
            </w:r>
            <w:r>
              <w:rPr>
                <w:color w:val="1F3A5F"/>
                <w:sz w:val="20"/>
              </w:rPr>
              <w:t>Business Development, Sales &amp; Account Management Resource</w:t>
            </w:r>
          </w:p>
        </w:tc>
        <w:tc>
          <w:tcPr>
            <w:tcW w:type="dxa" w:w="5112"/>
          </w:tcPr>
          <w:p>
            <w:pPr>
              <w:jc w:val="right"/>
            </w:pPr>
            <w:r>
              <w:rPr>
                <w:b/>
                <w:color w:val="1F3A5F"/>
                <w:sz w:val="20"/>
              </w:rPr>
              <w:t>THE FIRST CALL GROUP, INC.</w:t>
              <w:br/>
            </w:r>
            <w:r>
              <w:rPr>
                <w:b w:val="0"/>
                <w:color w:val="1F3A5F"/>
                <w:sz w:val="16"/>
              </w:rPr>
              <w:t>Critical Infrastructure Advisory, Governance, and Integration</w:t>
              <w:br/>
            </w:r>
            <w:r>
              <w:rPr>
                <w:b w:val="0"/>
                <w:color w:val="1F3A5F"/>
                <w:sz w:val="16"/>
              </w:rPr>
              <w:t>Tucson, AZ</w:t>
              <w:br/>
            </w:r>
            <w:r>
              <w:rPr>
                <w:b w:val="0"/>
                <w:color w:val="1F3A5F"/>
                <w:sz w:val="16"/>
              </w:rPr>
              <w:t>jason.agee@thefirstcallgroup.com</w:t>
              <w:br/>
            </w:r>
            <w:r>
              <w:rPr>
                <w:b w:val="0"/>
                <w:color w:val="1F3A5F"/>
                <w:sz w:val="16"/>
              </w:rPr>
              <w:t>thefirstcallgroup.com</w:t>
              <w:br/>
            </w:r>
          </w:p>
        </w:tc>
      </w:tr>
    </w:tbl>
    <w:p/>
    <w:p>
      <w:r>
        <w:rPr>
          <w:sz w:val="21"/>
        </w:rPr>
        <w:t>Daniel S. Casarez is a Tucson, Arizona–based sales, business development, and account management professional offered through The First Call Group bench for federal, state, and commercial contracts requiring inside sales, lead generation, account management, collections and accounts-receivable support, customer acquisition and retention, and CRM-driven pipeline management. He brings more than seven years of progressive B2B and B2C experience across financial services, commercial lending, and credit and collections environments, with a consistent record of exceeding quotas, engaging senior decision-makers such as Accounts Receivable Managers, Controllers, and Chief Operations Officers, and converting high-volume outreach into qualified opportunities.</w:t>
      </w:r>
    </w:p>
    <w:p>
      <w:pPr>
        <w:spacing w:before="160" w:after="60"/>
      </w:pPr>
      <w:r>
        <w:rPr>
          <w:b/>
          <w:color w:val="1F3A5F"/>
          <w:sz w:val="23"/>
        </w:rPr>
        <w:t>CORE COMPETENCIES</w:t>
      </w:r>
    </w:p>
    <w:tbl>
      <w:tblPr>
        <w:tblW w:type="auto" w:w="0"/>
        <w:tblLook w:firstColumn="1" w:firstRow="1" w:lastColumn="0" w:lastRow="0" w:noHBand="0" w:noVBand="1" w:val="04A0"/>
      </w:tblPr>
      <w:tblGrid>
        <w:gridCol w:w="5112"/>
        <w:gridCol w:w="5112"/>
      </w:tblGrid>
      <w:tr>
        <w:tc>
          <w:tcPr>
            <w:tcW w:type="dxa" w:w="5112"/>
          </w:tcPr>
          <w:p>
            <w:r>
              <w:rPr>
                <w:sz w:val="20"/>
              </w:rPr>
              <w:t>•  B2B &amp; B2C Sales</w:t>
            </w:r>
          </w:p>
        </w:tc>
        <w:tc>
          <w:tcPr>
            <w:tcW w:type="dxa" w:w="5112"/>
          </w:tcPr>
          <w:p>
            <w:r>
              <w:rPr>
                <w:sz w:val="20"/>
              </w:rPr>
              <w:t>•  CRM &amp; Sales Analytics (Salesforce, HubSpot, Oracle)</w:t>
            </w:r>
          </w:p>
        </w:tc>
      </w:tr>
      <w:tr>
        <w:tc>
          <w:tcPr>
            <w:tcW w:type="dxa" w:w="5112"/>
          </w:tcPr>
          <w:p>
            <w:r>
              <w:rPr>
                <w:sz w:val="20"/>
              </w:rPr>
              <w:t>•  Lead Generation &amp; Cold Calling</w:t>
            </w:r>
          </w:p>
        </w:tc>
        <w:tc>
          <w:tcPr>
            <w:tcW w:type="dxa" w:w="5112"/>
          </w:tcPr>
          <w:p>
            <w:r>
              <w:rPr>
                <w:sz w:val="20"/>
              </w:rPr>
              <w:t>•  Strategic Sales Planning</w:t>
            </w:r>
          </w:p>
        </w:tc>
      </w:tr>
      <w:tr>
        <w:tc>
          <w:tcPr>
            <w:tcW w:type="dxa" w:w="5112"/>
          </w:tcPr>
          <w:p>
            <w:r>
              <w:rPr>
                <w:sz w:val="20"/>
              </w:rPr>
              <w:t>•  Account Management &amp; Client Retention</w:t>
            </w:r>
          </w:p>
        </w:tc>
        <w:tc>
          <w:tcPr>
            <w:tcW w:type="dxa" w:w="5112"/>
          </w:tcPr>
          <w:p>
            <w:r>
              <w:rPr>
                <w:sz w:val="20"/>
              </w:rPr>
              <w:t>•  Team Leadership &amp; Coaching</w:t>
            </w:r>
          </w:p>
        </w:tc>
      </w:tr>
      <w:tr>
        <w:tc>
          <w:tcPr>
            <w:tcW w:type="dxa" w:w="5112"/>
          </w:tcPr>
          <w:p>
            <w:r>
              <w:rPr>
                <w:sz w:val="20"/>
              </w:rPr>
              <w:t>•  Collections &amp; Accounts Receivable Support</w:t>
            </w:r>
          </w:p>
        </w:tc>
        <w:tc>
          <w:tcPr>
            <w:tcW w:type="dxa" w:w="5112"/>
          </w:tcPr>
          <w:p>
            <w:r>
              <w:rPr>
                <w:sz w:val="20"/>
              </w:rPr>
              <w:t>•  Market Trend Analysis</w:t>
            </w:r>
          </w:p>
        </w:tc>
      </w:tr>
      <w:tr>
        <w:tc>
          <w:tcPr>
            <w:tcW w:type="dxa" w:w="5112"/>
          </w:tcPr>
          <w:p>
            <w:r>
              <w:rPr>
                <w:sz w:val="20"/>
              </w:rPr>
              <w:t>•  Contract Negotiation</w:t>
            </w:r>
          </w:p>
        </w:tc>
        <w:tc>
          <w:tcPr>
            <w:tcW w:type="dxa" w:w="5112"/>
          </w:tcPr>
          <w:p>
            <w:r>
              <w:rPr>
                <w:sz w:val="20"/>
              </w:rPr>
              <w:t>•  Revenue Growth &amp; Performance Optimization</w:t>
            </w:r>
          </w:p>
        </w:tc>
      </w:tr>
    </w:tbl>
    <w:p>
      <w:pPr>
        <w:spacing w:before="160" w:after="60"/>
      </w:pPr>
      <w:r>
        <w:rPr>
          <w:b/>
          <w:color w:val="1F3A5F"/>
          <w:sz w:val="23"/>
        </w:rPr>
        <w:t>RELEVANT EXPERIENCE</w:t>
      </w:r>
    </w:p>
    <w:p>
      <w:r>
        <w:rPr>
          <w:b/>
          <w:sz w:val="21"/>
        </w:rPr>
        <w:t>Account Manager, Sales / Collections — BARR Credit Services, Inc. (Caine &amp; Weiner), Tucson, AZ</w:t>
      </w:r>
      <w:r>
        <w:rPr>
          <w:i/>
          <w:sz w:val="19"/>
        </w:rPr>
        <w:t xml:space="preserve">   (Sep 2024 – Nov 2025)</w:t>
      </w:r>
    </w:p>
    <w:p>
      <w:pPr>
        <w:pStyle w:val="ListBullet"/>
      </w:pPr>
      <w:r>
        <w:rPr>
          <w:sz w:val="20"/>
        </w:rPr>
        <w:t>Achieved top-performer status within nine months by consistently exceeding quotas, including 100+ outbound calls daily, 150 minutes of daily phone time, and three or more qualified leads per day.</w:t>
      </w:r>
    </w:p>
    <w:p>
      <w:pPr>
        <w:pStyle w:val="ListBullet"/>
      </w:pPr>
      <w:r>
        <w:rPr>
          <w:sz w:val="20"/>
        </w:rPr>
        <w:t>Navigated complex organizations to reach key decision-makers — Accounts Receivable Managers, Controllers, and Chief Operations Officers — outperforming departmental averages.</w:t>
      </w:r>
    </w:p>
    <w:p>
      <w:r>
        <w:rPr>
          <w:b/>
          <w:sz w:val="21"/>
        </w:rPr>
        <w:t>Loan Advisor — BriteCap Financial, LLC, Las Vegas, NV</w:t>
      </w:r>
      <w:r>
        <w:rPr>
          <w:i/>
          <w:sz w:val="19"/>
        </w:rPr>
        <w:t xml:space="preserve">   (Sep 2022 – Jul 2024)</w:t>
      </w:r>
    </w:p>
    <w:p>
      <w:pPr>
        <w:pStyle w:val="ListBullet"/>
      </w:pPr>
      <w:r>
        <w:rPr>
          <w:sz w:val="20"/>
        </w:rPr>
        <w:t>Reviewed three months of commercial bank statements for 4+ small, medium, and large companies daily to support commercial lending decisions.</w:t>
      </w:r>
    </w:p>
    <w:p>
      <w:r>
        <w:rPr>
          <w:b/>
          <w:sz w:val="21"/>
        </w:rPr>
        <w:t>Senior Account Executive — J.D. Mellberg Financial, Tucson, AZ</w:t>
      </w:r>
      <w:r>
        <w:rPr>
          <w:i/>
          <w:sz w:val="19"/>
        </w:rPr>
        <w:t xml:space="preserve">   (Aug 2018 – Jul 2022)</w:t>
      </w:r>
    </w:p>
    <w:p>
      <w:pPr>
        <w:pStyle w:val="ListBullet"/>
      </w:pPr>
      <w:r>
        <w:rPr>
          <w:sz w:val="20"/>
        </w:rPr>
        <w:t>Served as a trusted first point of contact, setting the tone for successful long-term client relationships.</w:t>
      </w:r>
    </w:p>
    <w:p>
      <w:pPr>
        <w:pStyle w:val="ListBullet"/>
      </w:pPr>
      <w:r>
        <w:rPr>
          <w:sz w:val="20"/>
        </w:rPr>
        <w:t>Consistently met quotas of 4+ appointments per day, building rapport quickly and capturing detailed notes for the financial team.</w:t>
      </w:r>
    </w:p>
    <w:p>
      <w:pPr>
        <w:spacing w:before="160" w:after="60"/>
      </w:pPr>
      <w:r>
        <w:rPr>
          <w:b/>
          <w:color w:val="1F3A5F"/>
          <w:sz w:val="23"/>
        </w:rPr>
        <w:t>EDUCATION &amp; TRAINING</w:t>
      </w:r>
    </w:p>
    <w:p>
      <w:pPr>
        <w:pStyle w:val="ListBullet"/>
      </w:pPr>
      <w:r>
        <w:rPr>
          <w:sz w:val="20"/>
        </w:rPr>
        <w:t>National Association of Sales Professionals — Sales &amp; Leadership Training</w:t>
      </w:r>
    </w:p>
    <w:p>
      <w:pPr>
        <w:pStyle w:val="ListBullet"/>
      </w:pPr>
      <w:r>
        <w:rPr>
          <w:sz w:val="20"/>
        </w:rPr>
        <w:t>American Management Association — Professional Development Programs</w:t>
      </w:r>
    </w:p>
    <w:p>
      <w:pPr>
        <w:pStyle w:val="ListBullet"/>
      </w:pPr>
      <w:r>
        <w:rPr>
          <w:sz w:val="20"/>
        </w:rPr>
        <w:t>GED (2017)</w:t>
      </w:r>
    </w:p>
    <w:p>
      <w:pPr>
        <w:spacing w:before="160" w:after="60"/>
      </w:pPr>
      <w:r>
        <w:rPr>
          <w:b/>
          <w:color w:val="1F3A5F"/>
          <w:sz w:val="23"/>
        </w:rPr>
        <w:t>FCG ENGAGEMENT FIT</w:t>
      </w:r>
    </w:p>
    <w:p>
      <w:r>
        <w:rPr>
          <w:sz w:val="20"/>
        </w:rPr>
        <w:t>Suited to federal, state, and commercial task orders requiring business development and capture support, inside sales, customer acquisition and retention, account and relationship management, collections and accounts-receivable coordination, and CRM administration and reporting.</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