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240"/>
        <w:gridCol w:w="3840"/>
      </w:tblGrid>
      <w:tr>
        <w:tc>
          <w:tcPr>
            <w:tcW w:type="dxa" w:w="6240"/>
            <w:tcBorders>
              <w:top w:val="none" w:color="FFFFFF" w:sz="0"/>
              <w:left w:val="none" w:color="FFFFFF" w:sz="0"/>
              <w:bottom w:val="none" w:color="FFFFFF" w:sz="0"/>
              <w:right w:val="none" w:color="FFFFFF" w:sz="0"/>
            </w:tcBorders>
            <w:tcMar>
              <w:top w:type="dxa" w:w="0"/>
              <w:left w:type="dxa" w:w="0"/>
              <w:bottom w:type="dxa" w:w="0"/>
              <w:right w:type="dxa" w:w="80"/>
            </w:tcMar>
            <w:vAlign w:val="center"/>
          </w:tcPr>
          <w:p>
            <w:pPr>
              <w:spacing w:after="40"/>
            </w:pPr>
            <w:r>
              <w:rPr>
                <w:rFonts w:ascii="Calibri" w:cs="Calibri" w:eastAsia="Calibri" w:hAnsi="Calibri"/>
                <w:b/>
                <w:bCs/>
                <w:color w:val="1F3A5F"/>
                <w:spacing w:val="40"/>
                <w:sz w:val="22"/>
                <w:szCs w:val="22"/>
              </w:rPr>
              <w:t xml:space="preserve">CAPABILITY STATEMENT</w:t>
            </w:r>
          </w:p>
          <w:p>
            <w:pPr>
              <w:spacing w:after="40"/>
            </w:pPr>
            <w:r>
              <w:rPr>
                <w:rFonts w:ascii="Calibri" w:cs="Calibri" w:eastAsia="Calibri" w:hAnsi="Calibri"/>
                <w:b/>
                <w:bCs/>
                <w:color w:val="000000"/>
                <w:sz w:val="40"/>
                <w:szCs w:val="40"/>
              </w:rPr>
              <w:t xml:space="preserve">Jason L Agee</w:t>
            </w:r>
          </w:p>
          <w:p>
            <w:pPr>
              <w:spacing w:after="0"/>
            </w:pPr>
            <w:r>
              <w:rPr>
                <w:rFonts w:ascii="Calibri" w:cs="Calibri" w:eastAsia="Calibri" w:hAnsi="Calibri"/>
                <w:i/>
                <w:iCs/>
                <w:color w:val="2E5C8A"/>
                <w:sz w:val="22"/>
                <w:szCs w:val="22"/>
              </w:rPr>
              <w:t xml:space="preserve">Principal Consultant • Founder &amp; Chief Executive Officer</w:t>
            </w:r>
          </w:p>
        </w:tc>
        <w:tc>
          <w:tcPr>
            <w:tcW w:type="dxa" w:w="3840"/>
            <w:tcBorders>
              <w:top w:val="none" w:color="FFFFFF" w:sz="0"/>
              <w:left w:val="none" w:color="FFFFFF" w:sz="0"/>
              <w:bottom w:val="none" w:color="FFFFFF" w:sz="0"/>
              <w:right w:val="none" w:color="FFFFFF" w:sz="0"/>
            </w:tcBorders>
            <w:shd w:fill="E8EEF5" w:val="clear"/>
            <w:tcMar>
              <w:top w:type="dxa" w:w="0"/>
              <w:left w:type="dxa" w:w="80"/>
              <w:bottom w:type="dxa" w:w="0"/>
              <w:right w:type="dxa" w:w="0"/>
            </w:tcMar>
            <w:vAlign w:val="center"/>
          </w:tcPr>
          <w:p>
            <w:pPr>
              <w:spacing w:after="20" w:before="80"/>
              <w:jc w:val="right"/>
            </w:pPr>
            <w:r>
              <w:rPr>
                <w:rFonts w:ascii="Calibri" w:cs="Calibri" w:eastAsia="Calibri" w:hAnsi="Calibri"/>
                <w:b/>
                <w:bCs/>
                <w:color w:val="1F3A5F"/>
                <w:sz w:val="18"/>
                <w:szCs w:val="18"/>
              </w:rPr>
              <w:t xml:space="preserve">THE FIRST CALL GROUP, INC.</w:t>
            </w:r>
          </w:p>
          <w:p>
            <w:pPr>
              <w:spacing w:after="20"/>
              <w:jc w:val="right"/>
            </w:pPr>
            <w:r>
              <w:rPr>
                <w:rFonts w:ascii="Calibri" w:cs="Calibri" w:eastAsia="Calibri" w:hAnsi="Calibri"/>
                <w:i/>
                <w:iCs/>
                <w:color w:val="555555"/>
                <w:sz w:val="16"/>
                <w:szCs w:val="16"/>
              </w:rPr>
              <w:t xml:space="preserve">Critical Infrastructure Advisory, Governance, and Integration</w:t>
            </w:r>
          </w:p>
          <w:p>
            <w:pPr>
              <w:spacing w:after="0"/>
              <w:jc w:val="right"/>
            </w:pPr>
            <w:r>
              <w:rPr>
                <w:rFonts w:ascii="Calibri" w:cs="Calibri" w:eastAsia="Calibri" w:hAnsi="Calibri"/>
                <w:color w:val="555555"/>
                <w:sz w:val="16"/>
                <w:szCs w:val="16"/>
              </w:rPr>
              <w:t xml:space="preserve">Tucson, AZ</w:t>
            </w:r>
          </w:p>
          <w:p>
            <w:pPr>
              <w:spacing w:after="0"/>
              <w:jc w:val="right"/>
            </w:pPr>
            <w:r>
              <w:rPr>
                <w:rFonts w:ascii="Calibri" w:cs="Calibri" w:eastAsia="Calibri" w:hAnsi="Calibri"/>
                <w:color w:val="555555"/>
                <w:sz w:val="16"/>
                <w:szCs w:val="16"/>
              </w:rPr>
              <w:t xml:space="preserve">jason.agee@thefirstcallgroup.com</w:t>
            </w:r>
          </w:p>
          <w:p>
            <w:pPr>
              <w:spacing w:after="80"/>
              <w:jc w:val="right"/>
            </w:pPr>
            <w:r>
              <w:rPr>
                <w:rFonts w:ascii="Calibri" w:cs="Calibri" w:eastAsia="Calibri" w:hAnsi="Calibri"/>
                <w:color w:val="555555"/>
                <w:sz w:val="16"/>
                <w:szCs w:val="16"/>
              </w:rPr>
              <w:t xml:space="preserve">thefirstcallgroup.com</w:t>
            </w:r>
          </w:p>
        </w:tc>
      </w:tr>
    </w:tbl>
    <w:p>
      <w:pPr>
        <w:spacing w:after="120"/>
      </w:pPr>
      <w:r>
        <w:t xml:space="preserve"> </w:t>
      </w:r>
    </w:p>
    <w:p>
      <w:pPr>
        <w:spacing w:after="100"/>
        <w:jc w:val="left"/>
      </w:pPr>
      <w:r>
        <w:rPr>
          <w:rFonts w:ascii="Calibri" w:cs="Calibri" w:eastAsia="Calibri" w:hAnsi="Calibri"/>
          <w:b w:val="false"/>
          <w:bCs w:val="false"/>
          <w:i w:val="false"/>
          <w:iCs w:val="false"/>
          <w:color w:val="000000"/>
          <w:sz w:val="20"/>
          <w:szCs w:val="20"/>
        </w:rPr>
        <w:t xml:space="preserve">Jason L Agee is the founder and Chief Executive Officer of The First Call Group, Inc., and serves as principal subject matter expert for FCG engagements involving AI data center architecture, mission-critical power and cooling, 800-volt high-voltage direct current (HVDC) deployment, grid-to-chip power chains, capital deployment velocity, and infrastructure governance. He brings more than twenty-five years of progressive critical-infrastructure leadership and is positioned for senior advisory, principal-investigator, key personnel, and executive review roles on federal, hyperscale, OEM, utility, and colocation engagements.</w:t>
      </w:r>
    </w:p>
    <w:p>
      <w:pPr>
        <w:pBdr>
          <w:bottom w:val="single" w:color="1F3A5F" w:sz="8" w:space="2"/>
        </w:pBdr>
        <w:spacing w:after="80" w:before="220"/>
      </w:pPr>
      <w:r>
        <w:rPr>
          <w:rFonts w:ascii="Calibri" w:cs="Calibri" w:eastAsia="Calibri" w:hAnsi="Calibri"/>
          <w:b/>
          <w:bCs/>
          <w:color w:val="1F3A5F"/>
          <w:spacing w:val="30"/>
          <w:sz w:val="24"/>
          <w:szCs w:val="24"/>
        </w:rPr>
        <w:t xml:space="preserve">CORE COMPETENCIES</w:t>
      </w:r>
    </w:p>
    <w:p>
      <w:pPr>
        <w:tabs>
          <w:tab w:val="left" w:pos="4500"/>
        </w:tabs>
        <w:spacing w:after="40"/>
      </w:pPr>
      <w:r>
        <w:rPr>
          <w:rFonts w:ascii="Calibri" w:cs="Calibri" w:eastAsia="Calibri" w:hAnsi="Calibri"/>
          <w:sz w:val="20"/>
          <w:szCs w:val="20"/>
        </w:rPr>
        <w:t xml:space="preserve">•  AI Data Center Reference Architecture</w:t>
      </w:r>
      <w:r>
        <w:rPr>
          <w:rFonts w:ascii="Calibri" w:cs="Calibri" w:eastAsia="Calibri" w:hAnsi="Calibri"/>
          <w:sz w:val="20"/>
          <w:szCs w:val="20"/>
        </w:rPr>
        <w:t xml:space="preserve">	•  Mission-Critical Power and Cooling Strategy</w:t>
      </w:r>
    </w:p>
    <w:p>
      <w:pPr>
        <w:tabs>
          <w:tab w:val="left" w:pos="4500"/>
        </w:tabs>
        <w:spacing w:after="40"/>
      </w:pPr>
      <w:r>
        <w:rPr>
          <w:rFonts w:ascii="Calibri" w:cs="Calibri" w:eastAsia="Calibri" w:hAnsi="Calibri"/>
          <w:sz w:val="20"/>
          <w:szCs w:val="20"/>
        </w:rPr>
        <w:t xml:space="preserve">•  800V HVDC Power Distribution</w:t>
      </w:r>
      <w:r>
        <w:rPr>
          <w:rFonts w:ascii="Calibri" w:cs="Calibri" w:eastAsia="Calibri" w:hAnsi="Calibri"/>
          <w:sz w:val="20"/>
          <w:szCs w:val="20"/>
        </w:rPr>
        <w:t xml:space="preserve">	•  Grid-to-Chip Power Chain Engineering</w:t>
      </w:r>
    </w:p>
    <w:p>
      <w:pPr>
        <w:tabs>
          <w:tab w:val="left" w:pos="4500"/>
        </w:tabs>
        <w:spacing w:after="40"/>
      </w:pPr>
      <w:r>
        <w:rPr>
          <w:rFonts w:ascii="Calibri" w:cs="Calibri" w:eastAsia="Calibri" w:hAnsi="Calibri"/>
          <w:sz w:val="20"/>
          <w:szCs w:val="20"/>
        </w:rPr>
        <w:t xml:space="preserve">•  Solid-State Transformer Integration</w:t>
      </w:r>
      <w:r>
        <w:rPr>
          <w:rFonts w:ascii="Calibri" w:cs="Calibri" w:eastAsia="Calibri" w:hAnsi="Calibri"/>
          <w:sz w:val="20"/>
          <w:szCs w:val="20"/>
        </w:rPr>
        <w:t xml:space="preserve">	•  Liquid Cooling Transition Planning</w:t>
      </w:r>
    </w:p>
    <w:p>
      <w:pPr>
        <w:tabs>
          <w:tab w:val="left" w:pos="4500"/>
        </w:tabs>
        <w:spacing w:after="40"/>
      </w:pPr>
      <w:r>
        <w:rPr>
          <w:rFonts w:ascii="Calibri" w:cs="Calibri" w:eastAsia="Calibri" w:hAnsi="Calibri"/>
          <w:sz w:val="20"/>
          <w:szCs w:val="20"/>
        </w:rPr>
        <w:t xml:space="preserve">•  Modular and Skid-Based Infrastructure Delivery</w:t>
      </w:r>
      <w:r>
        <w:rPr>
          <w:rFonts w:ascii="Calibri" w:cs="Calibri" w:eastAsia="Calibri" w:hAnsi="Calibri"/>
          <w:sz w:val="20"/>
          <w:szCs w:val="20"/>
        </w:rPr>
        <w:t xml:space="preserve">	•  Constructability and Commissioning Governance</w:t>
      </w:r>
    </w:p>
    <w:p>
      <w:pPr>
        <w:tabs>
          <w:tab w:val="left" w:pos="4500"/>
        </w:tabs>
        <w:spacing w:after="40"/>
      </w:pPr>
      <w:r>
        <w:rPr>
          <w:rFonts w:ascii="Calibri" w:cs="Calibri" w:eastAsia="Calibri" w:hAnsi="Calibri"/>
          <w:sz w:val="20"/>
          <w:szCs w:val="20"/>
        </w:rPr>
        <w:t xml:space="preserve">•  Capital Deployment Velocity and Phasing</w:t>
      </w:r>
      <w:r>
        <w:rPr>
          <w:rFonts w:ascii="Calibri" w:cs="Calibri" w:eastAsia="Calibri" w:hAnsi="Calibri"/>
          <w:sz w:val="20"/>
          <w:szCs w:val="20"/>
        </w:rPr>
        <w:t xml:space="preserve">	•  Operational Sustainability and Lifecycle Ownership</w:t>
      </w:r>
    </w:p>
    <w:p>
      <w:pPr>
        <w:tabs>
          <w:tab w:val="left" w:pos="4500"/>
        </w:tabs>
        <w:spacing w:after="40"/>
      </w:pPr>
      <w:r>
        <w:rPr>
          <w:rFonts w:ascii="Calibri" w:cs="Calibri" w:eastAsia="Calibri" w:hAnsi="Calibri"/>
          <w:sz w:val="20"/>
          <w:szCs w:val="20"/>
        </w:rPr>
        <w:t xml:space="preserve">•  Cybersecurity and Compliance (OT/IT)</w:t>
      </w:r>
      <w:r>
        <w:rPr>
          <w:rFonts w:ascii="Calibri" w:cs="Calibri" w:eastAsia="Calibri" w:hAnsi="Calibri"/>
          <w:sz w:val="20"/>
          <w:szCs w:val="20"/>
        </w:rPr>
        <w:t xml:space="preserve">	•  Telemetry, Observability, and Maintainability</w:t>
      </w:r>
    </w:p>
    <w:p>
      <w:pPr>
        <w:tabs>
          <w:tab w:val="left" w:pos="4500"/>
        </w:tabs>
        <w:spacing w:after="40"/>
      </w:pPr>
      <w:r>
        <w:rPr>
          <w:rFonts w:ascii="Calibri" w:cs="Calibri" w:eastAsia="Calibri" w:hAnsi="Calibri"/>
          <w:sz w:val="20"/>
          <w:szCs w:val="20"/>
        </w:rPr>
        <w:t xml:space="preserve">•  Standards Alignment (Uptime, ASHRAE, IEEE, NFPA, NEC, NIST)</w:t>
      </w:r>
      <w:r>
        <w:rPr>
          <w:rFonts w:ascii="Calibri" w:cs="Calibri" w:eastAsia="Calibri" w:hAnsi="Calibri"/>
          <w:sz w:val="20"/>
          <w:szCs w:val="20"/>
        </w:rPr>
        <w:t xml:space="preserve">	•  Infrastructure Governance and Decision Rights</w:t>
      </w:r>
    </w:p>
    <w:p>
      <w:pPr>
        <w:tabs>
          <w:tab w:val="left" w:pos="4500"/>
        </w:tabs>
        <w:spacing w:after="40"/>
      </w:pPr>
      <w:r>
        <w:rPr>
          <w:rFonts w:ascii="Calibri" w:cs="Calibri" w:eastAsia="Calibri" w:hAnsi="Calibri"/>
          <w:sz w:val="20"/>
          <w:szCs w:val="20"/>
        </w:rPr>
        <w:t xml:space="preserve">•  Supply Chain and OEM Strategy</w:t>
      </w:r>
      <w:r>
        <w:rPr>
          <w:rFonts w:ascii="Calibri" w:cs="Calibri" w:eastAsia="Calibri" w:hAnsi="Calibri"/>
          <w:sz w:val="20"/>
          <w:szCs w:val="20"/>
        </w:rPr>
        <w:t xml:space="preserve">	•  Executive and Investor Communication</w:t>
      </w:r>
    </w:p>
    <w:p>
      <w:pPr>
        <w:pBdr>
          <w:bottom w:val="single" w:color="1F3A5F" w:sz="8" w:space="2"/>
        </w:pBdr>
        <w:spacing w:after="80" w:before="220"/>
      </w:pPr>
      <w:r>
        <w:rPr>
          <w:rFonts w:ascii="Calibri" w:cs="Calibri" w:eastAsia="Calibri" w:hAnsi="Calibri"/>
          <w:b/>
          <w:bCs/>
          <w:color w:val="1F3A5F"/>
          <w:spacing w:val="30"/>
          <w:sz w:val="24"/>
          <w:szCs w:val="24"/>
        </w:rPr>
        <w:t xml:space="preserve">ENGAGEMENT PROFILES</w:t>
      </w:r>
    </w:p>
    <w:p>
      <w:pPr>
        <w:pStyle w:val="ListParagraph"/>
        <w:numPr>
          <w:ilvl w:val="0"/>
          <w:numId w:val="2"/>
        </w:numPr>
        <w:spacing w:after="40"/>
      </w:pPr>
      <w:r>
        <w:rPr>
          <w:rFonts w:ascii="Calibri" w:cs="Calibri" w:eastAsia="Calibri" w:hAnsi="Calibri"/>
          <w:sz w:val="20"/>
          <w:szCs w:val="20"/>
        </w:rPr>
        <w:t xml:space="preserve">Principal investigator and key personnel on AI data center architecture, power, and cooling studies for federal agencies and hyperscalers.</w:t>
      </w:r>
    </w:p>
    <w:p>
      <w:pPr>
        <w:pStyle w:val="ListParagraph"/>
        <w:numPr>
          <w:ilvl w:val="0"/>
          <w:numId w:val="2"/>
        </w:numPr>
        <w:spacing w:after="40"/>
      </w:pPr>
      <w:r>
        <w:rPr>
          <w:rFonts w:ascii="Calibri" w:cs="Calibri" w:eastAsia="Calibri" w:hAnsi="Calibri"/>
          <w:sz w:val="20"/>
          <w:szCs w:val="20"/>
        </w:rPr>
        <w:t xml:space="preserve">Executive advisor on capital deployment plans, reference architecture envelopes, and phased buildout strategies.</w:t>
      </w:r>
    </w:p>
    <w:p>
      <w:pPr>
        <w:pStyle w:val="ListParagraph"/>
        <w:numPr>
          <w:ilvl w:val="0"/>
          <w:numId w:val="2"/>
        </w:numPr>
        <w:spacing w:after="40"/>
      </w:pPr>
      <w:r>
        <w:rPr>
          <w:rFonts w:ascii="Calibri" w:cs="Calibri" w:eastAsia="Calibri" w:hAnsi="Calibri"/>
          <w:sz w:val="20"/>
          <w:szCs w:val="20"/>
        </w:rPr>
        <w:t xml:space="preserve">Independent design review and constructability oversight for high-density power and cooling deployments.</w:t>
      </w:r>
    </w:p>
    <w:p>
      <w:pPr>
        <w:pStyle w:val="ListParagraph"/>
        <w:numPr>
          <w:ilvl w:val="0"/>
          <w:numId w:val="2"/>
        </w:numPr>
        <w:spacing w:after="40"/>
      </w:pPr>
      <w:r>
        <w:rPr>
          <w:rFonts w:ascii="Calibri" w:cs="Calibri" w:eastAsia="Calibri" w:hAnsi="Calibri"/>
          <w:sz w:val="20"/>
          <w:szCs w:val="20"/>
        </w:rPr>
        <w:t xml:space="preserve">Standards alignment and infrastructure governance assessments for owners, regulators, and investors.</w:t>
      </w:r>
    </w:p>
    <w:p>
      <w:pPr>
        <w:pStyle w:val="ListParagraph"/>
        <w:numPr>
          <w:ilvl w:val="0"/>
          <w:numId w:val="2"/>
        </w:numPr>
        <w:spacing w:after="40"/>
      </w:pPr>
      <w:r>
        <w:rPr>
          <w:rFonts w:ascii="Calibri" w:cs="Calibri" w:eastAsia="Calibri" w:hAnsi="Calibri"/>
          <w:sz w:val="20"/>
          <w:szCs w:val="20"/>
        </w:rPr>
        <w:t xml:space="preserve">Author of executive-grade white papers and reference architecture publications used in regulator, investor, and customer discussions.</w:t>
      </w:r>
    </w:p>
    <w:p>
      <w:pPr>
        <w:pBdr>
          <w:bottom w:val="single" w:color="1F3A5F" w:sz="8" w:space="2"/>
        </w:pBdr>
        <w:spacing w:after="80" w:before="220"/>
      </w:pPr>
      <w:r>
        <w:rPr>
          <w:rFonts w:ascii="Calibri" w:cs="Calibri" w:eastAsia="Calibri" w:hAnsi="Calibri"/>
          <w:b/>
          <w:bCs/>
          <w:color w:val="1F3A5F"/>
          <w:spacing w:val="30"/>
          <w:sz w:val="24"/>
          <w:szCs w:val="24"/>
        </w:rPr>
        <w:t xml:space="preserve">DIFFERENTIATORS</w:t>
      </w:r>
    </w:p>
    <w:p>
      <w:pPr>
        <w:pStyle w:val="ListParagraph"/>
        <w:numPr>
          <w:ilvl w:val="0"/>
          <w:numId w:val="2"/>
        </w:numPr>
        <w:spacing w:after="40"/>
      </w:pPr>
      <w:r>
        <w:rPr>
          <w:rFonts w:ascii="Calibri" w:cs="Calibri" w:eastAsia="Calibri" w:hAnsi="Calibri"/>
          <w:sz w:val="20"/>
          <w:szCs w:val="20"/>
        </w:rPr>
        <w:t xml:space="preserve">Senior infrastructure executive voice with depth in engineering and discipline in capital, schedule, and lifecycle economics.</w:t>
      </w:r>
    </w:p>
    <w:p>
      <w:pPr>
        <w:pStyle w:val="ListParagraph"/>
        <w:numPr>
          <w:ilvl w:val="0"/>
          <w:numId w:val="2"/>
        </w:numPr>
        <w:spacing w:after="40"/>
      </w:pPr>
      <w:r>
        <w:rPr>
          <w:rFonts w:ascii="Calibri" w:cs="Calibri" w:eastAsia="Calibri" w:hAnsi="Calibri"/>
          <w:sz w:val="20"/>
          <w:szCs w:val="20"/>
        </w:rPr>
        <w:t xml:space="preserve">Independent of any single OEM, integrator, or hyperscaler — supports objective procurement and architecture decisions.</w:t>
      </w:r>
    </w:p>
    <w:p>
      <w:pPr>
        <w:pStyle w:val="ListParagraph"/>
        <w:numPr>
          <w:ilvl w:val="0"/>
          <w:numId w:val="2"/>
        </w:numPr>
        <w:spacing w:after="40"/>
      </w:pPr>
      <w:r>
        <w:rPr>
          <w:rFonts w:ascii="Calibri" w:cs="Calibri" w:eastAsia="Calibri" w:hAnsi="Calibri"/>
          <w:sz w:val="20"/>
          <w:szCs w:val="20"/>
        </w:rPr>
        <w:t xml:space="preserve">Connects engineering decisions to board-level capital impact, supply chain constraints, and operational risk.</w:t>
      </w:r>
    </w:p>
    <w:p>
      <w:pPr>
        <w:pStyle w:val="ListParagraph"/>
        <w:numPr>
          <w:ilvl w:val="0"/>
          <w:numId w:val="2"/>
        </w:numPr>
        <w:spacing w:after="40"/>
      </w:pPr>
      <w:r>
        <w:rPr>
          <w:rFonts w:ascii="Calibri" w:cs="Calibri" w:eastAsia="Calibri" w:hAnsi="Calibri"/>
          <w:sz w:val="20"/>
          <w:szCs w:val="20"/>
        </w:rPr>
        <w:t xml:space="preserve">Authoritative public voice in AI infrastructure architecture, HVDC, and grid-to-chip strategy.</w:t>
      </w:r>
    </w:p>
    <w:p>
      <w:pPr>
        <w:pBdr>
          <w:bottom w:val="single" w:color="1F3A5F" w:sz="8" w:space="2"/>
        </w:pBdr>
        <w:spacing w:after="80" w:before="220"/>
      </w:pPr>
      <w:r>
        <w:rPr>
          <w:rFonts w:ascii="Calibri" w:cs="Calibri" w:eastAsia="Calibri" w:hAnsi="Calibri"/>
          <w:b/>
          <w:bCs/>
          <w:color w:val="1F3A5F"/>
          <w:spacing w:val="30"/>
          <w:sz w:val="24"/>
          <w:szCs w:val="24"/>
        </w:rPr>
        <w:t xml:space="preserve">SUITABLE CONTRACT VEHICLES AND CATEGORIES</w:t>
      </w:r>
    </w:p>
    <w:p>
      <w:pPr>
        <w:spacing w:after="100"/>
        <w:jc w:val="left"/>
      </w:pPr>
      <w:r>
        <w:rPr>
          <w:rFonts w:ascii="Calibri" w:cs="Calibri" w:eastAsia="Calibri" w:hAnsi="Calibri"/>
          <w:b w:val="false"/>
          <w:bCs w:val="false"/>
          <w:i w:val="false"/>
          <w:iCs w:val="false"/>
          <w:color w:val="000000"/>
          <w:sz w:val="20"/>
          <w:szCs w:val="20"/>
        </w:rPr>
        <w:t xml:space="preserve">Engineering services (NAICS 541330), computer systems design services (541512), administrative management and general management consulting (541611), other management consulting (541618), other scientific and technical consulting (541690), and research and development in physical, engineering, and life sciences (541715). Suitable as prime or subcontractor key personnel on Department of Energy, Department of Defense, General Services Administration, Department of Homeland Security, and national laboratory critical-infrastructure engagements.</w:t>
      </w:r>
    </w:p>
    <w:sectPr>
      <w:footerReference w:type="default" r:id="rId7"/>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A5F" w:sz="8" w:space="2"/>
      </w:pBdr>
      <w:spacing w:after="20" w:before="80"/>
      <w:jc w:val="center"/>
    </w:pPr>
    <w:r>
      <w:rPr>
        <w:rFonts w:ascii="Calibri" w:cs="Calibri" w:eastAsia="Calibri" w:hAnsi="Calibri"/>
        <w:color w:val="555555"/>
        <w:sz w:val="14"/>
        <w:szCs w:val="14"/>
      </w:rPr>
      <w:t xml:space="preserve">The First Call Group, Inc.  •  Tucson, AZ  •  thefirstcallgroup.com  •  jason.agee@thefirstcallgroup.com</w:t>
    </w:r>
  </w:p>
  <w:p>
    <w:pPr>
      <w:spacing w:after="0"/>
      <w:jc w:val="center"/>
    </w:pPr>
    <w:r>
      <w:rPr>
        <w:rFonts w:ascii="Calibri" w:cs="Calibri" w:eastAsia="Calibri" w:hAnsi="Calibri"/>
        <w:i/>
        <w:iCs/>
        <w:color w:val="555555"/>
        <w:sz w:val="12"/>
        <w:szCs w:val="12"/>
      </w:rPr>
      <w:t xml:space="preserve">[UEI: insert]   [CAGE: insert]   •   Small Business • [Veteran-Owned / SDVOSB pending] • [HUBZone pending] • UCP-eligible (AZ)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FCG Capability Statement — Jason L Agee</dc:title>
  <dc:creator>The First Call Group, Inc.</dc:creator>
  <cp:lastModifiedBy>Un-named</cp:lastModifiedBy>
  <cp:revision>1</cp:revision>
  <dcterms:created xsi:type="dcterms:W3CDTF">2026-05-16T16:23:28.085Z</dcterms:created>
  <dcterms:modified xsi:type="dcterms:W3CDTF">2026-05-16T16:23:28.085Z</dcterms:modified>
</cp:coreProperties>
</file>

<file path=docProps/custom.xml><?xml version="1.0" encoding="utf-8"?>
<Properties xmlns="http://schemas.openxmlformats.org/officeDocument/2006/custom-properties" xmlns:vt="http://schemas.openxmlformats.org/officeDocument/2006/docPropsVTypes"/>
</file>