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val="0"/>
          <w:i w:val="0"/>
          <w:color w:val="000000"/>
          <w:sz w:val="22"/>
        </w:rPr>
        <w:t>Ramsey Reddig is a Tucson, Arizona–based customer service and front-of-house professional offered through the FCG bench for federal, state, and commercial task orders requiring high-touch customer interaction, contact-center support, age-verified transactions, inventory and records coordination, and entry-level administrative work. Ramsey will complete a Bachelor of Arts in Psychology at the University of Arizona in May 2026, with coursework in behavioral science, psychological statistics, and data analysis using RStudio. The combined customer-service experience, behavioral-science academic foundation, and CPR certification position Ramsey for roles in agency contact centers, public-facing service desks, social-service intake, and federal facility visitor services.</w:t>
      </w:r>
    </w:p>
    <w:p>
      <w:pPr>
        <w:spacing w:before="200" w:after="80"/>
        <w:pBdr>
          <w:bottom w:val="single" w:sz="6" w:space="1" w:color="0F2A47"/>
        </w:pBdr>
      </w:pPr>
      <w:r>
        <w:rPr>
          <w:rFonts w:ascii="Calibri" w:hAnsi="Calibri"/>
          <w:b/>
          <w:i w:val="0"/>
          <w:color w:val="0F2A47"/>
          <w:sz w:val="24"/>
        </w:rPr>
        <w:t>CORE COMPETENCIES</w:t>
      </w:r>
    </w:p>
    <w:tbl>
      <w:tblPr>
        <w:tblW w:type="auto" w:w="0"/>
        <w:tblLook w:firstColumn="1" w:firstRow="1" w:lastColumn="0" w:lastRow="0" w:noHBand="0" w:noVBand="1" w:val="04A0"/>
      </w:tblPr>
      <w:tblGrid>
        <w:gridCol w:w="5040"/>
        <w:gridCol w:w="5040"/>
      </w:tblGrid>
      <w:tr>
        <w:tc>
          <w:tcPr>
            <w:tcW w:type="dxa" w:w="5040"/>
          </w:tcPr>
          <w:p>
            <w:r/>
            <w:r>
              <w:rPr>
                <w:rFonts w:ascii="Calibri" w:hAnsi="Calibri"/>
                <w:b w:val="0"/>
                <w:i w:val="0"/>
                <w:color w:val="000000"/>
                <w:sz w:val="20"/>
              </w:rPr>
              <w:t>•  Customer Service &amp; Front-of-House Operations</w:t>
            </w:r>
          </w:p>
        </w:tc>
        <w:tc>
          <w:tcPr>
            <w:tcW w:type="dxa" w:w="5040"/>
          </w:tcPr>
          <w:p>
            <w:r/>
            <w:r>
              <w:rPr>
                <w:rFonts w:ascii="Calibri" w:hAnsi="Calibri"/>
                <w:b w:val="0"/>
                <w:i w:val="0"/>
                <w:color w:val="000000"/>
                <w:sz w:val="20"/>
              </w:rPr>
              <w:t>•  Multichannel Customer Interaction (In-Person, Phone)</w:t>
            </w:r>
          </w:p>
        </w:tc>
      </w:tr>
      <w:tr>
        <w:tc>
          <w:tcPr>
            <w:tcW w:type="dxa" w:w="5040"/>
          </w:tcPr>
          <w:p>
            <w:r/>
            <w:r>
              <w:rPr>
                <w:rFonts w:ascii="Calibri" w:hAnsi="Calibri"/>
                <w:b w:val="0"/>
                <w:i w:val="0"/>
                <w:color w:val="000000"/>
                <w:sz w:val="20"/>
              </w:rPr>
              <w:t>•  Age Verification &amp; ID Compliance</w:t>
            </w:r>
          </w:p>
        </w:tc>
        <w:tc>
          <w:tcPr>
            <w:tcW w:type="dxa" w:w="5040"/>
          </w:tcPr>
          <w:p>
            <w:r/>
            <w:r>
              <w:rPr>
                <w:rFonts w:ascii="Calibri" w:hAnsi="Calibri"/>
                <w:b w:val="0"/>
                <w:i w:val="0"/>
                <w:color w:val="000000"/>
                <w:sz w:val="20"/>
              </w:rPr>
              <w:t>•  Cash and Card Transaction Handling (POS Systems)</w:t>
            </w:r>
          </w:p>
        </w:tc>
      </w:tr>
      <w:tr>
        <w:tc>
          <w:tcPr>
            <w:tcW w:type="dxa" w:w="5040"/>
          </w:tcPr>
          <w:p>
            <w:r/>
            <w:r>
              <w:rPr>
                <w:rFonts w:ascii="Calibri" w:hAnsi="Calibri"/>
                <w:b w:val="0"/>
                <w:i w:val="0"/>
                <w:color w:val="000000"/>
                <w:sz w:val="20"/>
              </w:rPr>
              <w:t>•  Inventory and Equipment Tracking</w:t>
            </w:r>
          </w:p>
        </w:tc>
        <w:tc>
          <w:tcPr>
            <w:tcW w:type="dxa" w:w="5040"/>
          </w:tcPr>
          <w:p>
            <w:r/>
            <w:r>
              <w:rPr>
                <w:rFonts w:ascii="Calibri" w:hAnsi="Calibri"/>
                <w:b w:val="0"/>
                <w:i w:val="0"/>
                <w:color w:val="000000"/>
                <w:sz w:val="20"/>
              </w:rPr>
              <w:t>•  Records Logging and Accountability</w:t>
            </w:r>
          </w:p>
        </w:tc>
      </w:tr>
      <w:tr>
        <w:tc>
          <w:tcPr>
            <w:tcW w:type="dxa" w:w="5040"/>
          </w:tcPr>
          <w:p>
            <w:r/>
            <w:r>
              <w:rPr>
                <w:rFonts w:ascii="Calibri" w:hAnsi="Calibri"/>
                <w:b w:val="0"/>
                <w:i w:val="0"/>
                <w:color w:val="000000"/>
                <w:sz w:val="20"/>
              </w:rPr>
              <w:t>•  Behavioral Science Foundation (BA Psychology, 2026)</w:t>
            </w:r>
          </w:p>
        </w:tc>
        <w:tc>
          <w:tcPr>
            <w:tcW w:type="dxa" w:w="5040"/>
          </w:tcPr>
          <w:p>
            <w:r/>
            <w:r>
              <w:rPr>
                <w:rFonts w:ascii="Calibri" w:hAnsi="Calibri"/>
                <w:b w:val="0"/>
                <w:i w:val="0"/>
                <w:color w:val="000000"/>
                <w:sz w:val="20"/>
              </w:rPr>
              <w:t>•  Statistical Data Analysis (RStudio Coursework)</w:t>
            </w:r>
          </w:p>
        </w:tc>
      </w:tr>
      <w:tr>
        <w:tc>
          <w:tcPr>
            <w:tcW w:type="dxa" w:w="5040"/>
          </w:tcPr>
          <w:p>
            <w:r/>
            <w:r>
              <w:rPr>
                <w:rFonts w:ascii="Calibri" w:hAnsi="Calibri"/>
                <w:b w:val="0"/>
                <w:i w:val="0"/>
                <w:color w:val="000000"/>
                <w:sz w:val="20"/>
              </w:rPr>
              <w:t>•  Health, Safety, and Food-Handling Compliance</w:t>
            </w:r>
          </w:p>
        </w:tc>
        <w:tc>
          <w:tcPr>
            <w:tcW w:type="dxa" w:w="5040"/>
          </w:tcPr>
          <w:p>
            <w:r/>
            <w:r>
              <w:rPr>
                <w:rFonts w:ascii="Calibri" w:hAnsi="Calibri"/>
                <w:b w:val="0"/>
                <w:i w:val="0"/>
                <w:color w:val="000000"/>
                <w:sz w:val="20"/>
              </w:rPr>
              <w:t>•  Customer Issue Resolution &amp; De-escalation</w:t>
            </w:r>
          </w:p>
        </w:tc>
      </w:tr>
      <w:tr>
        <w:tc>
          <w:tcPr>
            <w:tcW w:type="dxa" w:w="5040"/>
          </w:tcPr>
          <w:p>
            <w:r/>
            <w:r>
              <w:rPr>
                <w:rFonts w:ascii="Calibri" w:hAnsi="Calibri"/>
                <w:b w:val="0"/>
                <w:i w:val="0"/>
                <w:color w:val="000000"/>
                <w:sz w:val="20"/>
              </w:rPr>
              <w:t>•  CPR-Certified (National CPR Foundation)</w:t>
            </w:r>
          </w:p>
        </w:tc>
        <w:tc>
          <w:tcPr>
            <w:tcW w:type="dxa" w:w="5040"/>
          </w:tcPr>
          <w:p>
            <w:r/>
            <w:r>
              <w:rPr>
                <w:rFonts w:ascii="Calibri" w:hAnsi="Calibri"/>
                <w:b w:val="0"/>
                <w:i w:val="0"/>
                <w:color w:val="000000"/>
                <w:sz w:val="20"/>
              </w:rPr>
              <w:t>•  Intermediate German Language Skill</w:t>
            </w:r>
          </w:p>
        </w:tc>
      </w:tr>
    </w:tbl>
    <w:p>
      <w:pPr>
        <w:spacing w:before="200" w:after="80"/>
        <w:pBdr>
          <w:bottom w:val="single" w:sz="6" w:space="1" w:color="0F2A47"/>
        </w:pBdr>
      </w:pPr>
      <w:r>
        <w:rPr>
          <w:rFonts w:ascii="Calibri" w:hAnsi="Calibri"/>
          <w:b/>
          <w:i w:val="0"/>
          <w:color w:val="0F2A47"/>
          <w:sz w:val="24"/>
        </w:rPr>
        <w:t>SUITABLE CONTRACT TYPES</w:t>
      </w:r>
    </w:p>
    <w:p>
      <w:pPr>
        <w:spacing w:after="0"/>
      </w:pPr>
      <w:r>
        <w:rPr>
          <w:rFonts w:ascii="Calibri" w:hAnsi="Calibri"/>
          <w:b w:val="0"/>
          <w:i w:val="0"/>
          <w:color w:val="000000"/>
          <w:sz w:val="22"/>
        </w:rPr>
        <w:t>Ramsey is positioned for FCG engagements and federal task orders in the following categories:</w:t>
      </w:r>
    </w:p>
    <w:p>
      <w:pPr>
        <w:pStyle w:val="ListParagraph"/>
        <w:numPr>
          <w:ilvl w:val="0"/>
          <w:numId w:val="1"/>
        </w:numPr>
      </w:pPr>
      <w:r>
        <w:rPr>
          <w:rFonts w:ascii="Calibri" w:hAnsi="Calibri"/>
          <w:b w:val="0"/>
          <w:i w:val="0"/>
          <w:color w:val="000000"/>
          <w:sz w:val="20"/>
        </w:rPr>
        <w:t>Front desk, reception, and visitor services for federal facilities and military installations (Davis-Monthan Air Force Base, Fort Huachuca, GSA-leased space, and Tucson-area federal offices).</w:t>
      </w:r>
    </w:p>
    <w:p>
      <w:pPr>
        <w:pStyle w:val="ListParagraph"/>
        <w:numPr>
          <w:ilvl w:val="0"/>
          <w:numId w:val="1"/>
        </w:numPr>
      </w:pPr>
      <w:r>
        <w:rPr>
          <w:rFonts w:ascii="Calibri" w:hAnsi="Calibri"/>
          <w:b w:val="0"/>
          <w:i w:val="0"/>
          <w:color w:val="000000"/>
          <w:sz w:val="20"/>
        </w:rPr>
        <w:t>Tier 1 customer service and contact-center representative roles supporting agency help lines, benefits inquiries, public health intake, social-services case intake, and veterans services.</w:t>
      </w:r>
    </w:p>
    <w:p>
      <w:pPr>
        <w:pStyle w:val="ListParagraph"/>
        <w:numPr>
          <w:ilvl w:val="0"/>
          <w:numId w:val="1"/>
        </w:numPr>
      </w:pPr>
      <w:r>
        <w:rPr>
          <w:rFonts w:ascii="Calibri" w:hAnsi="Calibri"/>
          <w:b w:val="0"/>
          <w:i w:val="0"/>
          <w:color w:val="000000"/>
          <w:sz w:val="20"/>
        </w:rPr>
        <w:t>Administrative and clerical support task orders (NAICS 561110, 561320) requiring scheduling, records management, reception, and general office operations.</w:t>
      </w:r>
    </w:p>
    <w:p>
      <w:pPr>
        <w:pStyle w:val="ListParagraph"/>
        <w:numPr>
          <w:ilvl w:val="0"/>
          <w:numId w:val="1"/>
        </w:numPr>
      </w:pPr>
      <w:r>
        <w:rPr>
          <w:rFonts w:ascii="Calibri" w:hAnsi="Calibri"/>
          <w:b w:val="0"/>
          <w:i w:val="0"/>
          <w:color w:val="000000"/>
          <w:sz w:val="20"/>
        </w:rPr>
        <w:t>Inventory-control and accountability coordination roles, leveraging Ramsey's University Recreation Center equipment check-out experience.</w:t>
      </w:r>
    </w:p>
    <w:p>
      <w:pPr>
        <w:pStyle w:val="ListParagraph"/>
        <w:numPr>
          <w:ilvl w:val="0"/>
          <w:numId w:val="1"/>
        </w:numPr>
      </w:pPr>
      <w:r>
        <w:rPr>
          <w:rFonts w:ascii="Calibri" w:hAnsi="Calibri"/>
          <w:b w:val="0"/>
          <w:i w:val="0"/>
          <w:color w:val="000000"/>
          <w:sz w:val="20"/>
        </w:rPr>
        <w:t>Conference, event, and visitor coordination support for government-sponsored training, public meetings, and stakeholder engagements.</w:t>
      </w:r>
    </w:p>
    <w:p>
      <w:pPr>
        <w:pStyle w:val="ListParagraph"/>
        <w:numPr>
          <w:ilvl w:val="0"/>
          <w:numId w:val="1"/>
        </w:numPr>
      </w:pPr>
      <w:r>
        <w:rPr>
          <w:rFonts w:ascii="Calibri" w:hAnsi="Calibri"/>
          <w:b w:val="0"/>
          <w:i w:val="0"/>
          <w:color w:val="000000"/>
          <w:sz w:val="20"/>
        </w:rPr>
        <w:t>Behavioral-science-adjacent administrative support — mental health crisis line intake, social-services scheduling, and survey-research coordination as Ramsey progresses toward graduate study or behavioral health credentials.</w:t>
      </w:r>
    </w:p>
    <w:p>
      <w:pPr>
        <w:spacing w:before="200" w:after="80"/>
        <w:pBdr>
          <w:bottom w:val="single" w:sz="6" w:space="1" w:color="0F2A47"/>
        </w:pBdr>
      </w:pPr>
      <w:r>
        <w:rPr>
          <w:rFonts w:ascii="Calibri" w:hAnsi="Calibri"/>
          <w:b/>
          <w:i w:val="0"/>
          <w:color w:val="0F2A47"/>
          <w:sz w:val="24"/>
        </w:rPr>
        <w:t>DEMONSTRATED EXPERIENCE</w:t>
      </w:r>
    </w:p>
    <w:p>
      <w:pPr>
        <w:pStyle w:val="ListParagraph"/>
        <w:numPr>
          <w:ilvl w:val="0"/>
          <w:numId w:val="1"/>
        </w:numPr>
      </w:pPr>
      <w:r>
        <w:rPr>
          <w:rFonts w:ascii="Calibri" w:hAnsi="Calibri"/>
          <w:b w:val="0"/>
          <w:i w:val="0"/>
          <w:color w:val="000000"/>
          <w:sz w:val="20"/>
        </w:rPr>
        <w:t>Front of House, Beyond Bread — Tucson, AZ (August 2022 – January 2023). Customer service in a fast-paced café environment with food, drink, and alcohol service. Performed age verification, POS transaction processing, and cross-team coordination with kitchen and bar staff.</w:t>
      </w:r>
    </w:p>
    <w:p>
      <w:pPr>
        <w:pStyle w:val="ListParagraph"/>
        <w:numPr>
          <w:ilvl w:val="0"/>
          <w:numId w:val="1"/>
        </w:numPr>
      </w:pPr>
      <w:r>
        <w:rPr>
          <w:rFonts w:ascii="Calibri" w:hAnsi="Calibri"/>
          <w:b w:val="0"/>
          <w:i w:val="0"/>
          <w:color w:val="000000"/>
          <w:sz w:val="20"/>
        </w:rPr>
        <w:t>Equipment Check Out, University of Arizona Recreation Center — Tucson, AZ (April 2022 – August 2022). Inventory accountability, records logging, customer service, and equipment-condition inspection using the university identification system.</w:t>
      </w:r>
    </w:p>
    <w:p>
      <w:pPr>
        <w:pStyle w:val="ListParagraph"/>
        <w:numPr>
          <w:ilvl w:val="0"/>
          <w:numId w:val="1"/>
        </w:numPr>
      </w:pPr>
      <w:r>
        <w:rPr>
          <w:rFonts w:ascii="Calibri" w:hAnsi="Calibri"/>
          <w:b w:val="0"/>
          <w:i w:val="0"/>
          <w:color w:val="000000"/>
          <w:sz w:val="20"/>
        </w:rPr>
        <w:t>Front of House, 85 North University of Arizona — Tucson, AZ (August 2021 – April 2022). High-volume campus dining customer service for hundreds of students daily; food-safety and sanitation compliance; opening and closing operations.</w:t>
      </w:r>
    </w:p>
    <w:p>
      <w:pPr>
        <w:spacing w:before="200" w:after="80"/>
        <w:pBdr>
          <w:bottom w:val="single" w:sz="6" w:space="1" w:color="0F2A47"/>
        </w:pBdr>
      </w:pPr>
      <w:r>
        <w:rPr>
          <w:rFonts w:ascii="Calibri" w:hAnsi="Calibri"/>
          <w:b/>
          <w:i w:val="0"/>
          <w:color w:val="0F2A47"/>
          <w:sz w:val="24"/>
        </w:rPr>
        <w:t>DIFFERENTIATORS</w:t>
      </w:r>
    </w:p>
    <w:p>
      <w:pPr>
        <w:pStyle w:val="ListParagraph"/>
        <w:numPr>
          <w:ilvl w:val="0"/>
          <w:numId w:val="1"/>
        </w:numPr>
      </w:pPr>
      <w:r>
        <w:rPr>
          <w:rFonts w:ascii="Calibri" w:hAnsi="Calibri"/>
          <w:b w:val="0"/>
          <w:i w:val="0"/>
          <w:color w:val="000000"/>
          <w:sz w:val="20"/>
        </w:rPr>
        <w:t>Tucson, Arizona-based with availability to support southern Arizona federal and commercial sites without relocation.</w:t>
      </w:r>
    </w:p>
    <w:p>
      <w:pPr>
        <w:pStyle w:val="ListParagraph"/>
        <w:numPr>
          <w:ilvl w:val="0"/>
          <w:numId w:val="1"/>
        </w:numPr>
      </w:pPr>
      <w:r>
        <w:rPr>
          <w:rFonts w:ascii="Calibri" w:hAnsi="Calibri"/>
          <w:b w:val="0"/>
          <w:i w:val="0"/>
          <w:color w:val="000000"/>
          <w:sz w:val="20"/>
        </w:rPr>
        <w:t>Bench-ready for staff augmentation and short-cycle task order fulfillment.</w:t>
      </w:r>
    </w:p>
    <w:p>
      <w:pPr>
        <w:pStyle w:val="ListParagraph"/>
        <w:numPr>
          <w:ilvl w:val="0"/>
          <w:numId w:val="1"/>
        </w:numPr>
      </w:pPr>
      <w:r>
        <w:rPr>
          <w:rFonts w:ascii="Calibri" w:hAnsi="Calibri"/>
          <w:b w:val="0"/>
          <w:i w:val="0"/>
          <w:color w:val="000000"/>
          <w:sz w:val="20"/>
        </w:rPr>
        <w:t>Bachelor of Arts in Psychology (May 2026) provides a defensible track from entry-level customer service into behavioral-health, social-services, and survey-research administrative roles within the same engagement.</w:t>
      </w:r>
    </w:p>
    <w:p>
      <w:pPr>
        <w:pStyle w:val="ListParagraph"/>
        <w:numPr>
          <w:ilvl w:val="0"/>
          <w:numId w:val="1"/>
        </w:numPr>
      </w:pPr>
      <w:r>
        <w:rPr>
          <w:rFonts w:ascii="Calibri" w:hAnsi="Calibri"/>
          <w:b w:val="0"/>
          <w:i w:val="0"/>
          <w:color w:val="000000"/>
          <w:sz w:val="20"/>
        </w:rPr>
        <w:t>Foundational data-analysis skill (RStudio) supports junior analytical tasks such as customer-satisfaction reporting, intake-form analysis, and basic descriptive statistics.</w:t>
      </w:r>
    </w:p>
    <w:p>
      <w:pPr>
        <w:pStyle w:val="ListParagraph"/>
        <w:numPr>
          <w:ilvl w:val="0"/>
          <w:numId w:val="1"/>
        </w:numPr>
      </w:pPr>
      <w:r>
        <w:rPr>
          <w:rFonts w:ascii="Calibri" w:hAnsi="Calibri"/>
          <w:b w:val="0"/>
          <w:i w:val="0"/>
          <w:color w:val="000000"/>
          <w:sz w:val="20"/>
        </w:rPr>
        <w:t>CPR-certified (National CPR Foundation) — relevant to federal facility visitor services and emergency-response-adjacent roles.</w:t>
      </w:r>
    </w:p>
    <w:p>
      <w:pPr>
        <w:pStyle w:val="ListParagraph"/>
        <w:numPr>
          <w:ilvl w:val="0"/>
          <w:numId w:val="1"/>
        </w:numPr>
      </w:pPr>
      <w:r>
        <w:rPr>
          <w:rFonts w:ascii="Calibri" w:hAnsi="Calibri"/>
          <w:b w:val="0"/>
          <w:i w:val="0"/>
          <w:color w:val="000000"/>
          <w:sz w:val="20"/>
        </w:rPr>
        <w:t>Intermediate German language capability — minor differentiator for multilingual contact-center support and Arizona-area joint training programs hosted with international partners.</w:t>
      </w:r>
    </w:p>
    <w:p>
      <w:pPr>
        <w:pStyle w:val="ListParagraph"/>
        <w:numPr>
          <w:ilvl w:val="0"/>
          <w:numId w:val="1"/>
        </w:numPr>
      </w:pPr>
      <w:r>
        <w:rPr>
          <w:rFonts w:ascii="Calibri" w:hAnsi="Calibri"/>
          <w:b w:val="0"/>
          <w:i w:val="0"/>
          <w:color w:val="000000"/>
          <w:sz w:val="20"/>
        </w:rPr>
        <w:t>Operates under FCG governance, with onboarding, timekeeping, and compliance handled by the prime.</w:t>
      </w:r>
    </w:p>
    <w:p>
      <w:pPr>
        <w:spacing w:before="200" w:after="80"/>
        <w:pBdr>
          <w:bottom w:val="single" w:sz="6" w:space="1" w:color="0F2A47"/>
        </w:pBdr>
      </w:pPr>
      <w:r>
        <w:rPr>
          <w:rFonts w:ascii="Calibri" w:hAnsi="Calibri"/>
          <w:b/>
          <w:i w:val="0"/>
          <w:color w:val="0F2A47"/>
          <w:sz w:val="24"/>
        </w:rPr>
        <w:t>ENGAGEMENT THROUGH THE FIRST CALL GROUP</w:t>
      </w:r>
    </w:p>
    <w:p>
      <w:pPr>
        <w:spacing w:after="0"/>
      </w:pPr>
      <w:r>
        <w:rPr>
          <w:rFonts w:ascii="Calibri" w:hAnsi="Calibri"/>
          <w:b w:val="0"/>
          <w:i w:val="0"/>
          <w:color w:val="000000"/>
          <w:sz w:val="22"/>
        </w:rPr>
        <w:t>Ramsey Reddig is offered as a contract resource under The First Call Group, Inc. FCG retains responsibility for contract administration, governance, timekeeping, security and background screening, training compliance, and quality oversight. Direct candidate contact should be coordinated through FCG.</w:t>
      </w:r>
    </w:p>
    <w:p>
      <w:pPr>
        <w:spacing w:after="0"/>
      </w:pPr>
      <w:r>
        <w:rPr>
          <w:rFonts w:ascii="Calibri" w:hAnsi="Calibri"/>
          <w:b w:val="0"/>
          <w:i w:val="0"/>
          <w:color w:val="000000"/>
          <w:sz w:val="22"/>
        </w:rPr>
      </w:r>
    </w:p>
    <w:p>
      <w:pPr>
        <w:spacing w:after="0"/>
      </w:pPr>
      <w:r>
        <w:rPr>
          <w:rFonts w:ascii="Calibri" w:hAnsi="Calibri"/>
          <w:b/>
          <w:i w:val="0"/>
          <w:color w:val="0F2A47"/>
          <w:sz w:val="22"/>
        </w:rPr>
        <w:t>CAPABILITY STATEMENT</w:t>
      </w:r>
    </w:p>
    <w:p>
      <w:pPr>
        <w:spacing w:after="0"/>
      </w:pPr>
      <w:r>
        <w:rPr>
          <w:rFonts w:ascii="Calibri" w:hAnsi="Calibri"/>
          <w:b/>
          <w:i w:val="0"/>
          <w:color w:val="000000"/>
          <w:sz w:val="24"/>
        </w:rPr>
        <w:t>Ramsey Reddig</w:t>
      </w:r>
    </w:p>
    <w:p>
      <w:pPr>
        <w:spacing w:after="0"/>
      </w:pPr>
      <w:r>
        <w:rPr>
          <w:rFonts w:ascii="Calibri" w:hAnsi="Calibri"/>
          <w:b w:val="0"/>
          <w:i/>
          <w:color w:val="595959"/>
          <w:sz w:val="20"/>
        </w:rPr>
        <w:t>Customer Service &amp; Front-Office Support Resource | THE FIRST CALL GROUP, INC.</w:t>
      </w:r>
    </w:p>
    <w:p>
      <w:pPr>
        <w:spacing w:after="0"/>
      </w:pPr>
      <w:r>
        <w:rPr>
          <w:rFonts w:ascii="Calibri" w:hAnsi="Calibri"/>
          <w:b w:val="0"/>
          <w:i/>
          <w:color w:val="595959"/>
          <w:sz w:val="20"/>
        </w:rPr>
        <w:t>Critical Infrastructure Advisory, Governance, and Integration</w:t>
      </w:r>
    </w:p>
    <w:p>
      <w:pPr>
        <w:spacing w:after="0"/>
      </w:pPr>
      <w:r>
        <w:rPr>
          <w:rFonts w:ascii="Calibri" w:hAnsi="Calibri"/>
          <w:b w:val="0"/>
          <w:i w:val="0"/>
          <w:color w:val="595959"/>
          <w:sz w:val="20"/>
        </w:rPr>
        <w:t>Tucson, AZ</w:t>
      </w:r>
    </w:p>
    <w:p>
      <w:pPr>
        <w:spacing w:after="0"/>
      </w:pPr>
      <w:r>
        <w:rPr>
          <w:rFonts w:ascii="Calibri" w:hAnsi="Calibri"/>
          <w:b w:val="0"/>
          <w:i w:val="0"/>
          <w:color w:val="595959"/>
          <w:sz w:val="20"/>
        </w:rPr>
        <w:t>jason.agee@thefirstcallgroup.com</w:t>
      </w:r>
    </w:p>
    <w:p>
      <w:pPr>
        <w:spacing w:after="0"/>
      </w:pPr>
      <w:r>
        <w:rPr>
          <w:rFonts w:ascii="Calibri" w:hAnsi="Calibri"/>
          <w:b w:val="0"/>
          <w:i w:val="0"/>
          <w:color w:val="595959"/>
          <w:sz w:val="20"/>
        </w:rPr>
        <w:t>thefirstcallgroup.com</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