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B2A4A"/>
          <w:sz w:val="36"/>
        </w:rPr>
        <w:t>FIRST CALL GROUP, INC.</w:t>
      </w:r>
    </w:p>
    <w:p>
      <w:pPr>
        <w:jc w:val="center"/>
      </w:pPr>
      <w:r>
        <w:rPr>
          <w:i/>
          <w:sz w:val="20"/>
        </w:rPr>
        <w:t>Service-Disabled Veteran-Owned Small Business (SDVOSB)</w:t>
      </w:r>
    </w:p>
    <w:p>
      <w:pPr>
        <w:jc w:val="center"/>
      </w:pPr>
      <w:r>
        <w:rPr>
          <w:b/>
          <w:sz w:val="30"/>
        </w:rPr>
        <w:t>OEM Reseller Partnership Overview</w:t>
      </w:r>
    </w:p>
    <w:p>
      <w:pPr>
        <w:spacing w:before="200" w:after="80"/>
      </w:pPr>
      <w:r>
        <w:rPr>
          <w:b/>
          <w:color w:val="1B2A4A"/>
          <w:sz w:val="28"/>
        </w:rPr>
        <w:t>The Opportunity</w:t>
      </w:r>
    </w:p>
    <w:p>
      <w:r>
        <w:rPr>
          <w:sz w:val="22"/>
        </w:rPr>
        <w:t>The United States federal government is one of the largest and most stable buyers of critical infrastructure equipment in the world, representing a multi-billion-dollar annual market that continues to grow. For global and U.S. manufacturers alike, this market is difficult to reach directly. The obstacle is rarely product quality or price — it is compliance and procurement access. Without a U.S.-based channel partner that carries the required compliance posture and contract vehicles, an OEM's products are effectively invisible to federal buyers.</w:t>
      </w:r>
    </w:p>
    <w:p>
      <w:pPr>
        <w:spacing w:before="200" w:after="80"/>
      </w:pPr>
      <w:r>
        <w:rPr>
          <w:b/>
          <w:color w:val="1B2A4A"/>
          <w:sz w:val="28"/>
        </w:rPr>
        <w:t>The Barriers to Federal Revenue</w:t>
      </w:r>
    </w:p>
    <w:p>
      <w:r>
        <w:rPr>
          <w:sz w:val="22"/>
        </w:rPr>
        <w:t>Selling to the U.S. government requires satisfying a layered compliance framework:</w:t>
      </w:r>
    </w:p>
    <w:p>
      <w:pPr>
        <w:pStyle w:val="ListBullet"/>
      </w:pPr>
      <w:r>
        <w:rPr>
          <w:sz w:val="22"/>
        </w:rPr>
        <w:t>Trade Agreements Act (TAA) — products must be manufactured or substantially transformed in a TAA-designated country; U.S.-based assembly, integration, or configuration can establish that transformation.</w:t>
      </w:r>
    </w:p>
    <w:p>
      <w:pPr>
        <w:pStyle w:val="ListBullet"/>
      </w:pPr>
      <w:r>
        <w:rPr>
          <w:sz w:val="22"/>
        </w:rPr>
        <w:t>CMMC (Cybersecurity Maturity Model Certification) — required across Department of Defense solicitations; products must flow through CMMC-aligned channels.</w:t>
      </w:r>
    </w:p>
    <w:p>
      <w:pPr>
        <w:pStyle w:val="ListBullet"/>
      </w:pPr>
      <w:r>
        <w:rPr>
          <w:sz w:val="22"/>
        </w:rPr>
        <w:t>NIST SP 800-171 / FIPS — frameworks governing how equipment is configured, deployed, and maintained, with firmware validation and supply-chain documentation.</w:t>
      </w:r>
    </w:p>
    <w:p>
      <w:pPr>
        <w:pStyle w:val="ListBullet"/>
      </w:pPr>
      <w:r>
        <w:rPr>
          <w:sz w:val="22"/>
        </w:rPr>
        <w:t>GSA Schedule and contract vehicles — federal agencies buy primarily through established vehicles (GSA MAS, IDIQs, GWACs, BPAs); without a presence on these, products cannot be easily procured.</w:t>
      </w:r>
    </w:p>
    <w:p>
      <w:pPr>
        <w:pStyle w:val="ListBullet"/>
      </w:pPr>
      <w:r>
        <w:rPr>
          <w:sz w:val="22"/>
        </w:rPr>
        <w:t>Small business set-asides — a significant share of federal spend is reserved for SDVOSB and small business firms, accessible through a certified U.S. small-business partner.</w:t>
      </w:r>
    </w:p>
    <w:p>
      <w:pPr>
        <w:spacing w:before="200" w:after="80"/>
      </w:pPr>
      <w:r>
        <w:rPr>
          <w:b/>
          <w:color w:val="1B2A4A"/>
          <w:sz w:val="28"/>
        </w:rPr>
        <w:t>The First Call Group Solution</w:t>
      </w:r>
    </w:p>
    <w:p>
      <w:r>
        <w:rPr>
          <w:sz w:val="22"/>
        </w:rPr>
        <w:t>First Call Group serves as the U.S. compliance and integration layer that enables OEM products to enter regulated federal and public-sector markets. As a certified SDVOSB with federal registrations in place, FCG can act as your Authorized Reseller — placing your products on federal contract vehicles and standing behind delivery, configuration, and lifecycle support.</w:t>
      </w:r>
    </w:p>
    <w:p>
      <w:pPr>
        <w:spacing w:before="200" w:after="80"/>
      </w:pPr>
      <w:r>
        <w:rPr>
          <w:b/>
          <w:color w:val="1B2A4A"/>
          <w:sz w:val="28"/>
        </w:rPr>
        <w:t>What FCG Provides</w:t>
      </w:r>
    </w:p>
    <w:p>
      <w:pPr>
        <w:pStyle w:val="ListBullet"/>
      </w:pPr>
      <w:r>
        <w:rPr>
          <w:sz w:val="22"/>
        </w:rPr>
        <w:t>Authorized U.S. reseller channel for federal, state, local, tribal, and cooperative buyers</w:t>
      </w:r>
    </w:p>
    <w:p>
      <w:pPr>
        <w:pStyle w:val="ListBullet"/>
      </w:pPr>
      <w:r>
        <w:rPr>
          <w:sz w:val="22"/>
        </w:rPr>
        <w:t>GSA Multiple Award Schedule alignment and catalog placement support</w:t>
      </w:r>
    </w:p>
    <w:p>
      <w:pPr>
        <w:pStyle w:val="ListBullet"/>
      </w:pPr>
      <w:r>
        <w:rPr>
          <w:sz w:val="22"/>
        </w:rPr>
        <w:t>U.S.-based integration, configuration, and last-mile deployment (supporting TAA substantial transformation)</w:t>
      </w:r>
    </w:p>
    <w:p>
      <w:pPr>
        <w:pStyle w:val="ListBullet"/>
      </w:pPr>
      <w:r>
        <w:rPr>
          <w:sz w:val="22"/>
        </w:rPr>
        <w:t>Compliance documentation: country-of-origin, NIST/FIPS configuration, supply-chain records</w:t>
      </w:r>
    </w:p>
    <w:p>
      <w:pPr>
        <w:pStyle w:val="ListBullet"/>
      </w:pPr>
      <w:r>
        <w:rPr>
          <w:sz w:val="22"/>
        </w:rPr>
        <w:t>SDVOSB set-aside eligibility and prime/subcontractor teaming</w:t>
      </w:r>
    </w:p>
    <w:p>
      <w:pPr>
        <w:pStyle w:val="ListBullet"/>
      </w:pPr>
      <w:r>
        <w:rPr>
          <w:sz w:val="22"/>
        </w:rPr>
        <w:t>Post-sale lifecycle maintenance and field support coordination</w:t>
      </w:r>
    </w:p>
    <w:p>
      <w:pPr>
        <w:pStyle w:val="ListBullet"/>
      </w:pPr>
      <w:r>
        <w:rPr>
          <w:sz w:val="22"/>
        </w:rPr>
        <w:t>Product positioning for federal, defense, data center, and critical-power opportunities</w:t>
      </w:r>
    </w:p>
    <w:p>
      <w:pPr>
        <w:spacing w:before="200" w:after="80"/>
      </w:pPr>
      <w:r>
        <w:rPr>
          <w:b/>
          <w:color w:val="1B2A4A"/>
          <w:sz w:val="28"/>
        </w:rPr>
        <w:t>The Partnership Model</w:t>
      </w:r>
    </w:p>
    <w:p>
      <w:r>
        <w:rPr>
          <w:sz w:val="22"/>
        </w:rPr>
        <w:t>The partnership is established through a Letter of Supply / Manufacturer Authorization, in which the manufacturer authorizes FCG to market, sell, deliver, and support its commercial products under the GSA MAS program and related vehicles. Typical terms include:</w:t>
      </w:r>
    </w:p>
    <w:p>
      <w:pPr>
        <w:pStyle w:val="ListBullet"/>
      </w:pPr>
      <w:r>
        <w:rPr>
          <w:sz w:val="22"/>
        </w:rPr>
        <w:t>A continuous, uninterrupted source-of-supply commitment for the contract period of performance.</w:t>
      </w:r>
    </w:p>
    <w:p>
      <w:pPr>
        <w:pStyle w:val="ListBullet"/>
      </w:pPr>
      <w:r>
        <w:rPr>
          <w:sz w:val="22"/>
        </w:rPr>
        <w:t>A dealer/reseller discount from the manufacturer's commercial price list.</w:t>
      </w:r>
    </w:p>
    <w:p>
      <w:pPr>
        <w:pStyle w:val="ListBullet"/>
      </w:pPr>
      <w:r>
        <w:rPr>
          <w:sz w:val="22"/>
        </w:rPr>
        <w:t>Confirmation that products are commercial items offered in the same form, fit, and function as commercial sales (most-favored-customer alignment).</w:t>
      </w:r>
    </w:p>
    <w:p>
      <w:pPr>
        <w:pStyle w:val="ListBullet"/>
      </w:pPr>
      <w:r>
        <w:rPr>
          <w:sz w:val="22"/>
        </w:rPr>
        <w:t>Advance written notice of product discontinuation, end-of-life, or country-of-origin changes.</w:t>
      </w:r>
    </w:p>
    <w:p>
      <w:pPr>
        <w:spacing w:before="200" w:after="80"/>
      </w:pPr>
      <w:r>
        <w:rPr>
          <w:b/>
          <w:color w:val="1B2A4A"/>
          <w:sz w:val="28"/>
        </w:rPr>
        <w:t>Who Should Partner With FCG</w:t>
      </w:r>
    </w:p>
    <w:p>
      <w:pPr>
        <w:pStyle w:val="ListBullet"/>
      </w:pPr>
      <w:r>
        <w:rPr>
          <w:sz w:val="22"/>
        </w:rPr>
        <w:t>Critical power manufacturers (UPS, switchgear, generators, transformers, batteries)</w:t>
      </w:r>
    </w:p>
    <w:p>
      <w:pPr>
        <w:pStyle w:val="ListBullet"/>
      </w:pPr>
      <w:r>
        <w:rPr>
          <w:sz w:val="22"/>
        </w:rPr>
        <w:t>Data center infrastructure and modular/prefabricated solution OEMs</w:t>
      </w:r>
    </w:p>
    <w:p>
      <w:pPr>
        <w:pStyle w:val="ListBullet"/>
      </w:pPr>
      <w:r>
        <w:rPr>
          <w:sz w:val="22"/>
        </w:rPr>
        <w:t>Cooling and thermal-management providers</w:t>
      </w:r>
    </w:p>
    <w:p>
      <w:pPr>
        <w:pStyle w:val="ListBullet"/>
      </w:pPr>
      <w:r>
        <w:rPr>
          <w:sz w:val="22"/>
        </w:rPr>
        <w:t>Energy storage and resiliency solution providers</w:t>
      </w:r>
    </w:p>
    <w:p>
      <w:pPr>
        <w:pStyle w:val="ListBullet"/>
      </w:pPr>
      <w:r>
        <w:rPr>
          <w:sz w:val="22"/>
        </w:rPr>
        <w:t>Industrial control and monitoring technology providers</w:t>
      </w:r>
    </w:p>
    <w:p>
      <w:pPr>
        <w:pStyle w:val="ListBullet"/>
      </w:pPr>
      <w:r>
        <w:rPr>
          <w:sz w:val="22"/>
        </w:rPr>
        <w:t>Cybersecurity and infrastructure-monitoring platform companies</w:t>
      </w:r>
    </w:p>
    <w:p>
      <w:pPr>
        <w:pStyle w:val="ListBullet"/>
      </w:pPr>
      <w:r>
        <w:rPr>
          <w:sz w:val="22"/>
        </w:rPr>
        <w:t>Cloud and edge infrastructure solution providers</w:t>
      </w:r>
    </w:p>
    <w:p>
      <w:pPr>
        <w:spacing w:before="200" w:after="80"/>
      </w:pPr>
      <w:r>
        <w:rPr>
          <w:b/>
          <w:color w:val="1B2A4A"/>
          <w:sz w:val="28"/>
        </w:rPr>
        <w:t>How to Get Started</w:t>
      </w:r>
    </w:p>
    <w:p>
      <w:r>
        <w:rPr>
          <w:sz w:val="22"/>
        </w:rPr>
        <w:t>1. Submit the OEM partner inquiry on thefirstcallgroup.com (Markets → OEM &amp; Channel Partners).</w:t>
      </w:r>
    </w:p>
    <w:p>
      <w:r>
        <w:rPr>
          <w:sz w:val="22"/>
        </w:rPr>
        <w:t>2. Provide your product line and the OEM Product Information Workbook for GSA alignment.</w:t>
      </w:r>
    </w:p>
    <w:p>
      <w:r>
        <w:rPr>
          <w:sz w:val="22"/>
        </w:rPr>
        <w:t>3. Execute the Letter of Supply / Manufacturer Authorization to name FCG as your Authorized Reseller.</w:t>
      </w:r>
    </w:p>
    <w:p>
      <w:pPr>
        <w:spacing w:before="200" w:after="80"/>
      </w:pPr>
      <w:r>
        <w:rPr>
          <w:b/>
          <w:color w:val="1B2A4A"/>
          <w:sz w:val="28"/>
        </w:rPr>
        <w:t>Contact</w:t>
      </w:r>
    </w:p>
    <w:p>
      <w:r>
        <w:rPr>
          <w:sz w:val="22"/>
        </w:rPr>
        <w:t>Jason Agee — Founder &amp; Chief Executive Officer</w:t>
      </w:r>
    </w:p>
    <w:p>
      <w:r>
        <w:rPr>
          <w:sz w:val="22"/>
        </w:rPr>
        <w:t>First Call Group, Inc.  |  2234 N Catalina Ave, Suite B, Tucson, AZ 85712-3225</w:t>
      </w:r>
    </w:p>
    <w:p>
      <w:r>
        <w:rPr>
          <w:sz w:val="22"/>
        </w:rPr>
        <w:t>jason.agee@thefirstcallgroup.com  |  (304) 405-6970</w:t>
      </w:r>
    </w:p>
    <w:p>
      <w:r>
        <w:rPr>
          <w:sz w:val="22"/>
        </w:rPr>
        <w:t>UEI: PJEJN9ED2523   |   CAGE Code: 82WS6   |   Primary NAICS: 541512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